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BCED" w14:textId="7CA0E012" w:rsidR="00854980" w:rsidRPr="00A211FC" w:rsidRDefault="00854980">
      <w:pPr>
        <w:rPr>
          <w:rFonts w:cstheme="minorHAnsi"/>
          <w:sz w:val="24"/>
          <w:szCs w:val="24"/>
        </w:rPr>
      </w:pPr>
      <w:r w:rsidRPr="00A211FC">
        <w:rPr>
          <w:rFonts w:cstheme="minorHAnsi"/>
          <w:sz w:val="24"/>
          <w:szCs w:val="24"/>
        </w:rPr>
        <w:t>Dear Collea</w:t>
      </w:r>
      <w:r w:rsidR="007411FF">
        <w:rPr>
          <w:rFonts w:cstheme="minorHAnsi"/>
          <w:sz w:val="24"/>
          <w:szCs w:val="24"/>
        </w:rPr>
        <w:t>gues,</w:t>
      </w:r>
    </w:p>
    <w:p w14:paraId="067298F1" w14:textId="35C8B629" w:rsidR="00DF2746" w:rsidRPr="00A211FC" w:rsidRDefault="00854980"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r w:rsidRPr="00A211FC">
        <w:rPr>
          <w:rFonts w:cstheme="minorHAnsi"/>
          <w:sz w:val="24"/>
          <w:szCs w:val="24"/>
        </w:rPr>
        <w:t xml:space="preserve">We are excited to bring you </w:t>
      </w:r>
      <w:r w:rsidR="002C17D1">
        <w:rPr>
          <w:rFonts w:cstheme="minorHAnsi"/>
          <w:sz w:val="24"/>
          <w:szCs w:val="24"/>
        </w:rPr>
        <w:t>a</w:t>
      </w:r>
      <w:r w:rsidR="00AD1BF2">
        <w:rPr>
          <w:rFonts w:cstheme="minorHAnsi"/>
          <w:sz w:val="24"/>
          <w:szCs w:val="24"/>
        </w:rPr>
        <w:t xml:space="preserve"> November</w:t>
      </w:r>
      <w:r w:rsidR="007411FF">
        <w:rPr>
          <w:rFonts w:cstheme="minorHAnsi"/>
          <w:sz w:val="24"/>
          <w:szCs w:val="24"/>
        </w:rPr>
        <w:t xml:space="preserve"> </w:t>
      </w:r>
      <w:r w:rsidRPr="00A211FC">
        <w:rPr>
          <w:rFonts w:cstheme="minorHAnsi"/>
          <w:sz w:val="24"/>
          <w:szCs w:val="24"/>
        </w:rPr>
        <w:t xml:space="preserve">edition of Psychiatric Practice Updates! </w:t>
      </w:r>
      <w:r w:rsidRPr="00A211FC">
        <w:rPr>
          <w:rFonts w:eastAsia="Times New Roman" w:cstheme="minorHAnsi"/>
          <w:color w:val="000000"/>
          <w:sz w:val="24"/>
          <w:szCs w:val="24"/>
          <w:bdr w:val="none" w:sz="0" w:space="0" w:color="auto" w:frame="1"/>
        </w:rPr>
        <w:t>We conduc</w:t>
      </w:r>
      <w:r w:rsidR="008017D8" w:rsidRPr="00A211FC">
        <w:rPr>
          <w:rFonts w:eastAsia="Times New Roman" w:cstheme="minorHAnsi"/>
          <w:color w:val="000000"/>
          <w:sz w:val="24"/>
          <w:szCs w:val="24"/>
          <w:bdr w:val="none" w:sz="0" w:space="0" w:color="auto" w:frame="1"/>
        </w:rPr>
        <w:t xml:space="preserve">t </w:t>
      </w:r>
      <w:r w:rsidRPr="00A211FC">
        <w:rPr>
          <w:rFonts w:eastAsia="Times New Roman" w:cstheme="minorHAnsi"/>
          <w:color w:val="000000"/>
          <w:sz w:val="24"/>
          <w:szCs w:val="24"/>
          <w:bdr w:val="none" w:sz="0" w:space="0" w:color="auto" w:frame="1"/>
        </w:rPr>
        <w:t xml:space="preserve">reviews of over 20 peer-reviewed journals </w:t>
      </w:r>
      <w:r w:rsidR="00DF2746" w:rsidRPr="00A211FC">
        <w:rPr>
          <w:rFonts w:eastAsia="Times New Roman" w:cstheme="minorHAnsi"/>
          <w:color w:val="000000"/>
          <w:sz w:val="24"/>
          <w:szCs w:val="24"/>
          <w:bdr w:val="none" w:sz="0" w:space="0" w:color="auto" w:frame="1"/>
        </w:rPr>
        <w:t>each month with the goal of selecting</w:t>
      </w:r>
      <w:r w:rsidRPr="00A211FC">
        <w:rPr>
          <w:rFonts w:eastAsia="Times New Roman" w:cstheme="minorHAnsi"/>
          <w:color w:val="000000"/>
          <w:sz w:val="24"/>
          <w:szCs w:val="24"/>
          <w:bdr w:val="none" w:sz="0" w:space="0" w:color="auto" w:frame="1"/>
        </w:rPr>
        <w:t xml:space="preserve"> articles that are interesting, impactful, and clinically relevant. Through our reviews, we may also highlight </w:t>
      </w:r>
      <w:r w:rsidR="00DF2746" w:rsidRPr="00A211FC">
        <w:rPr>
          <w:rFonts w:eastAsia="Times New Roman" w:cstheme="minorHAnsi"/>
          <w:color w:val="000000"/>
          <w:sz w:val="24"/>
          <w:szCs w:val="24"/>
          <w:bdr w:val="none" w:sz="0" w:space="0" w:color="auto" w:frame="1"/>
        </w:rPr>
        <w:t>articles that advance</w:t>
      </w:r>
      <w:r w:rsidRPr="00A211FC">
        <w:rPr>
          <w:rFonts w:eastAsia="Times New Roman" w:cstheme="minorHAnsi"/>
          <w:color w:val="000000"/>
          <w:sz w:val="24"/>
          <w:szCs w:val="24"/>
          <w:bdr w:val="none" w:sz="0" w:space="0" w:color="auto" w:frame="1"/>
        </w:rPr>
        <w:t xml:space="preserve"> our scientific understanding of mental illness or service </w:t>
      </w:r>
      <w:r w:rsidR="000423E0" w:rsidRPr="00A211FC">
        <w:rPr>
          <w:rFonts w:eastAsia="Times New Roman" w:cstheme="minorHAnsi"/>
          <w:color w:val="000000"/>
          <w:sz w:val="24"/>
          <w:szCs w:val="24"/>
          <w:bdr w:val="none" w:sz="0" w:space="0" w:color="auto" w:frame="1"/>
        </w:rPr>
        <w:t xml:space="preserve">delivery. </w:t>
      </w:r>
    </w:p>
    <w:p w14:paraId="7562195C"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p>
    <w:p w14:paraId="4F73C705" w14:textId="3E8ADAD5" w:rsidR="00854980" w:rsidRPr="00A211FC" w:rsidRDefault="000423E0" w:rsidP="00854980">
      <w:pPr>
        <w:shd w:val="clear" w:color="auto" w:fill="FFFFFF"/>
        <w:spacing w:after="0" w:line="254" w:lineRule="atLeast"/>
        <w:textAlignment w:val="baseline"/>
        <w:rPr>
          <w:rFonts w:eastAsia="Times New Roman" w:cstheme="minorHAnsi"/>
          <w:color w:val="201F1E"/>
          <w:sz w:val="24"/>
          <w:szCs w:val="24"/>
        </w:rPr>
      </w:pPr>
      <w:r w:rsidRPr="00A211FC">
        <w:rPr>
          <w:rFonts w:eastAsia="Times New Roman" w:cstheme="minorHAnsi"/>
          <w:color w:val="000000"/>
          <w:sz w:val="24"/>
          <w:szCs w:val="24"/>
          <w:bdr w:val="none" w:sz="0" w:space="0" w:color="auto" w:frame="1"/>
        </w:rPr>
        <w:t xml:space="preserve">We have provided a </w:t>
      </w:r>
      <w:r w:rsidR="00854980" w:rsidRPr="00A211FC">
        <w:rPr>
          <w:rFonts w:eastAsia="Times New Roman" w:cstheme="minorHAnsi"/>
          <w:color w:val="000000"/>
          <w:sz w:val="24"/>
          <w:szCs w:val="24"/>
          <w:bdr w:val="none" w:sz="0" w:space="0" w:color="auto" w:frame="1"/>
        </w:rPr>
        <w:t>list of</w:t>
      </w:r>
      <w:r w:rsidR="00DF2746" w:rsidRPr="00A211FC">
        <w:rPr>
          <w:rFonts w:eastAsia="Times New Roman" w:cstheme="minorHAnsi"/>
          <w:color w:val="000000"/>
          <w:sz w:val="24"/>
          <w:szCs w:val="24"/>
          <w:bdr w:val="none" w:sz="0" w:space="0" w:color="auto" w:frame="1"/>
        </w:rPr>
        <w:t xml:space="preserve"> articles that we</w:t>
      </w:r>
      <w:r w:rsidR="00854980" w:rsidRPr="00A211FC">
        <w:rPr>
          <w:rFonts w:eastAsia="Times New Roman" w:cstheme="minorHAnsi"/>
          <w:color w:val="000000"/>
          <w:sz w:val="24"/>
          <w:szCs w:val="24"/>
          <w:bdr w:val="none" w:sz="0" w:space="0" w:color="auto" w:frame="1"/>
        </w:rPr>
        <w:t xml:space="preserve"> </w:t>
      </w:r>
      <w:r w:rsidR="00DF2746" w:rsidRPr="00A211FC">
        <w:rPr>
          <w:rFonts w:eastAsia="Times New Roman" w:cstheme="minorHAnsi"/>
          <w:color w:val="000000"/>
          <w:sz w:val="24"/>
          <w:szCs w:val="24"/>
          <w:bdr w:val="none" w:sz="0" w:space="0" w:color="auto" w:frame="1"/>
        </w:rPr>
        <w:t xml:space="preserve">selected from our </w:t>
      </w:r>
      <w:r w:rsidRPr="00A211FC">
        <w:rPr>
          <w:rFonts w:eastAsia="Times New Roman" w:cstheme="minorHAnsi"/>
          <w:color w:val="000000"/>
          <w:sz w:val="24"/>
          <w:szCs w:val="24"/>
          <w:bdr w:val="none" w:sz="0" w:space="0" w:color="auto" w:frame="1"/>
        </w:rPr>
        <w:t xml:space="preserve">reviews, followed by the abstracts and pubmed links. Clicking in the table of contents will take you to that section of the document. </w:t>
      </w:r>
      <w:r w:rsidR="00854980" w:rsidRPr="00A211FC">
        <w:rPr>
          <w:rFonts w:eastAsia="Times New Roman" w:cstheme="minorHAnsi"/>
          <w:color w:val="000000"/>
          <w:sz w:val="24"/>
          <w:szCs w:val="24"/>
          <w:bdr w:val="none" w:sz="0" w:space="0" w:color="auto" w:frame="1"/>
        </w:rPr>
        <w:t xml:space="preserve"> Feel free to share and disseminate.</w:t>
      </w:r>
    </w:p>
    <w:p w14:paraId="27A6FA89"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rPr>
      </w:pPr>
    </w:p>
    <w:p w14:paraId="4BE62CF1" w14:textId="77777777" w:rsidR="00854980" w:rsidRPr="00A211FC" w:rsidRDefault="00DF2746" w:rsidP="00DF2746">
      <w:pPr>
        <w:shd w:val="clear" w:color="auto" w:fill="FFFFFF"/>
        <w:spacing w:after="0" w:line="240" w:lineRule="auto"/>
        <w:textAlignment w:val="baseline"/>
        <w:rPr>
          <w:rFonts w:eastAsia="Times New Roman" w:cstheme="minorHAnsi"/>
          <w:color w:val="000000"/>
          <w:sz w:val="24"/>
          <w:szCs w:val="24"/>
          <w:bdr w:val="none" w:sz="0" w:space="0" w:color="auto" w:frame="1"/>
        </w:rPr>
      </w:pPr>
      <w:r w:rsidRPr="00A211FC">
        <w:rPr>
          <w:rFonts w:eastAsia="Times New Roman" w:cstheme="minorHAnsi"/>
          <w:color w:val="000000"/>
          <w:sz w:val="24"/>
          <w:szCs w:val="24"/>
          <w:bdr w:val="none" w:sz="0" w:space="0" w:color="auto" w:frame="1"/>
        </w:rPr>
        <w:t xml:space="preserve">If you would like to receive the monthly Psychiatric Practice Updates email, please send an email with SUBSCRIBE in the subject to </w:t>
      </w:r>
      <w:hyperlink r:id="rId8" w:history="1">
        <w:r w:rsidRPr="00A211FC">
          <w:rPr>
            <w:rStyle w:val="Hyperlink"/>
            <w:rFonts w:eastAsia="Times New Roman" w:cstheme="minorHAnsi"/>
            <w:sz w:val="24"/>
            <w:szCs w:val="24"/>
            <w:bdr w:val="none" w:sz="0" w:space="0" w:color="auto" w:frame="1"/>
          </w:rPr>
          <w:t>PsychiatricPracticeUpdates@gmail.com</w:t>
        </w:r>
      </w:hyperlink>
    </w:p>
    <w:p w14:paraId="5856E4DA"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18966E18"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r w:rsidRPr="00A211FC">
        <w:rPr>
          <w:rFonts w:eastAsia="Times New Roman" w:cstheme="minorHAnsi"/>
          <w:color w:val="000000"/>
          <w:sz w:val="24"/>
          <w:szCs w:val="24"/>
        </w:rPr>
        <w:t>Happy learning!</w:t>
      </w:r>
    </w:p>
    <w:p w14:paraId="5E0A3B99"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499D5537" w14:textId="77777777" w:rsidR="00DF2746" w:rsidRPr="00A211FC" w:rsidRDefault="00DF2746" w:rsidP="00DF2746">
      <w:pPr>
        <w:shd w:val="clear" w:color="auto" w:fill="FFFFFF"/>
        <w:spacing w:after="0" w:line="240" w:lineRule="auto"/>
        <w:textAlignment w:val="baseline"/>
        <w:rPr>
          <w:rFonts w:eastAsia="Times New Roman" w:cstheme="minorHAnsi"/>
          <w:b/>
          <w:color w:val="000000"/>
          <w:sz w:val="24"/>
          <w:szCs w:val="24"/>
        </w:rPr>
      </w:pPr>
      <w:r w:rsidRPr="00A211FC">
        <w:rPr>
          <w:rFonts w:eastAsia="Times New Roman" w:cstheme="minorHAnsi"/>
          <w:b/>
          <w:color w:val="000000"/>
          <w:sz w:val="24"/>
          <w:szCs w:val="24"/>
        </w:rPr>
        <w:t>The Psychiatric Practice Updates Committee</w:t>
      </w:r>
    </w:p>
    <w:p w14:paraId="33DB09C1"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751204BB"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4F4C6F0C" w14:textId="77777777" w:rsidR="00DF2746" w:rsidRPr="00A211FC" w:rsidRDefault="00DF2746" w:rsidP="00DF2746">
      <w:pPr>
        <w:rPr>
          <w:rFonts w:cstheme="minorHAnsi"/>
          <w:sz w:val="24"/>
          <w:szCs w:val="24"/>
          <w:u w:val="single"/>
        </w:rPr>
      </w:pPr>
      <w:r w:rsidRPr="00A211FC">
        <w:rPr>
          <w:rFonts w:cstheme="minorHAnsi"/>
          <w:sz w:val="24"/>
          <w:szCs w:val="24"/>
          <w:u w:val="single"/>
        </w:rPr>
        <w:t>Chairs:</w:t>
      </w:r>
    </w:p>
    <w:p w14:paraId="424CF59A" w14:textId="77777777" w:rsidR="00DF2746" w:rsidRPr="00A211FC" w:rsidRDefault="00DF2746" w:rsidP="00DF2746">
      <w:pPr>
        <w:rPr>
          <w:rFonts w:cstheme="minorHAnsi"/>
          <w:sz w:val="24"/>
          <w:szCs w:val="24"/>
        </w:rPr>
      </w:pPr>
      <w:r w:rsidRPr="00A211FC">
        <w:rPr>
          <w:rFonts w:cstheme="minorHAnsi"/>
          <w:sz w:val="24"/>
          <w:szCs w:val="24"/>
        </w:rPr>
        <w:t>Katrina DeBonis, MD</w:t>
      </w:r>
    </w:p>
    <w:p w14:paraId="1D76F169" w14:textId="77777777" w:rsidR="00DF2746" w:rsidRPr="00A211FC" w:rsidRDefault="00DF2746" w:rsidP="00DF2746">
      <w:pPr>
        <w:rPr>
          <w:rFonts w:cstheme="minorHAnsi"/>
          <w:sz w:val="24"/>
          <w:szCs w:val="24"/>
        </w:rPr>
      </w:pPr>
      <w:r w:rsidRPr="00A211FC">
        <w:rPr>
          <w:rFonts w:cstheme="minorHAnsi"/>
          <w:sz w:val="24"/>
          <w:szCs w:val="24"/>
        </w:rPr>
        <w:t xml:space="preserve">Jane Eisen, MD </w:t>
      </w:r>
    </w:p>
    <w:p w14:paraId="77180229" w14:textId="77777777" w:rsidR="00DF2746" w:rsidRPr="00A211FC" w:rsidRDefault="00DF2746" w:rsidP="00DF2746">
      <w:pPr>
        <w:rPr>
          <w:rFonts w:cstheme="minorHAnsi"/>
          <w:sz w:val="24"/>
          <w:szCs w:val="24"/>
          <w:u w:val="single"/>
        </w:rPr>
      </w:pPr>
      <w:r w:rsidRPr="00A211FC">
        <w:rPr>
          <w:rFonts w:cstheme="minorHAnsi"/>
          <w:sz w:val="24"/>
          <w:szCs w:val="24"/>
          <w:u w:val="single"/>
        </w:rPr>
        <w:t>Committee Members:</w:t>
      </w:r>
    </w:p>
    <w:p w14:paraId="6F17E7DC" w14:textId="77777777" w:rsidR="00DF2746" w:rsidRPr="00A211FC" w:rsidRDefault="00DF2746" w:rsidP="00DF2746">
      <w:pPr>
        <w:rPr>
          <w:rFonts w:cstheme="minorHAnsi"/>
          <w:sz w:val="24"/>
          <w:szCs w:val="24"/>
        </w:rPr>
      </w:pPr>
      <w:r w:rsidRPr="00A211FC">
        <w:rPr>
          <w:rFonts w:cstheme="minorHAnsi"/>
          <w:sz w:val="24"/>
          <w:szCs w:val="24"/>
        </w:rPr>
        <w:t>Michael Fiori, MD</w:t>
      </w:r>
    </w:p>
    <w:p w14:paraId="0326E4A0" w14:textId="77777777" w:rsidR="00DF2746" w:rsidRPr="00A211FC" w:rsidRDefault="00DF2746" w:rsidP="00DF2746">
      <w:pPr>
        <w:rPr>
          <w:rFonts w:cstheme="minorHAnsi"/>
          <w:sz w:val="24"/>
          <w:szCs w:val="24"/>
        </w:rPr>
      </w:pPr>
      <w:r w:rsidRPr="00A211FC">
        <w:rPr>
          <w:rFonts w:cstheme="minorHAnsi"/>
          <w:sz w:val="24"/>
          <w:szCs w:val="24"/>
        </w:rPr>
        <w:t>Michael Gitlin, MD</w:t>
      </w:r>
    </w:p>
    <w:p w14:paraId="061D91CA" w14:textId="77777777" w:rsidR="00DF2746" w:rsidRPr="00A211FC" w:rsidRDefault="00DF2746" w:rsidP="00DF2746">
      <w:pPr>
        <w:rPr>
          <w:rFonts w:cstheme="minorHAnsi"/>
          <w:sz w:val="24"/>
          <w:szCs w:val="24"/>
        </w:rPr>
      </w:pPr>
      <w:r w:rsidRPr="00A211FC">
        <w:rPr>
          <w:rFonts w:cstheme="minorHAnsi"/>
          <w:sz w:val="24"/>
          <w:szCs w:val="24"/>
        </w:rPr>
        <w:t>Raphaela Gold, MD, MSc</w:t>
      </w:r>
    </w:p>
    <w:p w14:paraId="6AF522FF" w14:textId="020DB01D" w:rsidR="00FC0F56" w:rsidRPr="00A211FC" w:rsidRDefault="00FC0F56" w:rsidP="00DF2746">
      <w:pPr>
        <w:rPr>
          <w:rFonts w:cstheme="minorHAnsi"/>
          <w:sz w:val="24"/>
          <w:szCs w:val="24"/>
        </w:rPr>
      </w:pPr>
      <w:r w:rsidRPr="00A211FC">
        <w:rPr>
          <w:rFonts w:cstheme="minorHAnsi"/>
          <w:sz w:val="24"/>
          <w:szCs w:val="24"/>
        </w:rPr>
        <w:t>Kevin Kennedy, MD</w:t>
      </w:r>
    </w:p>
    <w:p w14:paraId="376EA6B0" w14:textId="77777777" w:rsidR="00DF2746" w:rsidRPr="00A211FC" w:rsidRDefault="00DF2746" w:rsidP="00DF2746">
      <w:pPr>
        <w:rPr>
          <w:rFonts w:cstheme="minorHAnsi"/>
          <w:sz w:val="24"/>
          <w:szCs w:val="24"/>
        </w:rPr>
      </w:pPr>
      <w:r w:rsidRPr="00A211FC">
        <w:rPr>
          <w:rFonts w:cstheme="minorHAnsi"/>
          <w:sz w:val="24"/>
          <w:szCs w:val="24"/>
        </w:rPr>
        <w:t>Stephen Marder, MD</w:t>
      </w:r>
    </w:p>
    <w:p w14:paraId="2AFD702B" w14:textId="77777777" w:rsidR="00DF2746" w:rsidRPr="00A211FC" w:rsidRDefault="00DF2746" w:rsidP="000423E0">
      <w:pPr>
        <w:rPr>
          <w:rFonts w:cstheme="minorHAnsi"/>
          <w:sz w:val="24"/>
          <w:szCs w:val="24"/>
        </w:rPr>
      </w:pPr>
      <w:r w:rsidRPr="00A211FC">
        <w:rPr>
          <w:rFonts w:cstheme="minorHAnsi"/>
          <w:sz w:val="24"/>
          <w:szCs w:val="24"/>
        </w:rPr>
        <w:t>Collin Price, MD</w:t>
      </w:r>
    </w:p>
    <w:p w14:paraId="4BD7344B" w14:textId="77777777" w:rsidR="00E070C5" w:rsidRPr="00A211FC" w:rsidRDefault="00E070C5" w:rsidP="000423E0">
      <w:pPr>
        <w:rPr>
          <w:rFonts w:cstheme="minorHAnsi"/>
          <w:sz w:val="24"/>
          <w:szCs w:val="24"/>
        </w:rPr>
      </w:pPr>
    </w:p>
    <w:p w14:paraId="62989C61" w14:textId="77777777" w:rsidR="00960961" w:rsidRPr="00A211FC" w:rsidRDefault="00960961" w:rsidP="000423E0">
      <w:pPr>
        <w:rPr>
          <w:rFonts w:cstheme="minorHAnsi"/>
          <w:sz w:val="24"/>
          <w:szCs w:val="24"/>
        </w:rPr>
      </w:pPr>
    </w:p>
    <w:p w14:paraId="4150F8C0" w14:textId="77777777" w:rsidR="00E070C5" w:rsidRPr="00A211FC" w:rsidRDefault="00E070C5" w:rsidP="000423E0">
      <w:pPr>
        <w:rPr>
          <w:rFonts w:cstheme="minorHAnsi"/>
          <w:sz w:val="24"/>
          <w:szCs w:val="24"/>
        </w:rPr>
      </w:pPr>
    </w:p>
    <w:p w14:paraId="3E59CFF7" w14:textId="77777777" w:rsidR="00E070C5" w:rsidRDefault="00E070C5" w:rsidP="000423E0">
      <w:pPr>
        <w:rPr>
          <w:rFonts w:cstheme="minorHAnsi"/>
          <w:sz w:val="24"/>
          <w:szCs w:val="24"/>
        </w:rPr>
      </w:pPr>
    </w:p>
    <w:p w14:paraId="6C70F98A" w14:textId="77777777" w:rsidR="000004DE" w:rsidRPr="00A211FC" w:rsidRDefault="000004DE" w:rsidP="000423E0">
      <w:pPr>
        <w:rPr>
          <w:rFonts w:cstheme="minorHAnsi"/>
          <w:sz w:val="24"/>
          <w:szCs w:val="24"/>
        </w:rPr>
      </w:pPr>
    </w:p>
    <w:sdt>
      <w:sdtPr>
        <w:rPr>
          <w:rFonts w:eastAsiaTheme="minorHAnsi" w:cstheme="minorHAnsi"/>
          <w:caps w:val="0"/>
          <w:color w:val="auto"/>
          <w:spacing w:val="0"/>
          <w:sz w:val="24"/>
          <w:szCs w:val="24"/>
        </w:rPr>
        <w:id w:val="-703247796"/>
        <w:docPartObj>
          <w:docPartGallery w:val="Table of Contents"/>
          <w:docPartUnique/>
        </w:docPartObj>
      </w:sdtPr>
      <w:sdtEndPr>
        <w:rPr>
          <w:noProof/>
        </w:rPr>
      </w:sdtEndPr>
      <w:sdtContent>
        <w:p w14:paraId="362CE660" w14:textId="5D4BEEB4" w:rsidR="00DF2746" w:rsidRPr="002C17D1" w:rsidRDefault="00DF2746" w:rsidP="002C17D1">
          <w:pPr>
            <w:pStyle w:val="TOCHeading"/>
            <w:rPr>
              <w:rFonts w:eastAsiaTheme="minorHAnsi" w:cstheme="minorHAnsi"/>
              <w:color w:val="auto"/>
              <w:sz w:val="24"/>
              <w:szCs w:val="24"/>
            </w:rPr>
          </w:pPr>
          <w:r w:rsidRPr="00A211FC">
            <w:rPr>
              <w:rFonts w:cstheme="minorHAnsi"/>
              <w:sz w:val="24"/>
              <w:szCs w:val="24"/>
            </w:rPr>
            <w:t xml:space="preserve">Psychiatric Practice Updates – </w:t>
          </w:r>
          <w:r w:rsidR="00AD1BF2">
            <w:rPr>
              <w:rFonts w:cstheme="minorHAnsi"/>
              <w:sz w:val="24"/>
              <w:szCs w:val="24"/>
            </w:rPr>
            <w:t>november</w:t>
          </w:r>
        </w:p>
        <w:p w14:paraId="27B87740" w14:textId="25A2D984" w:rsidR="007F57FF" w:rsidRDefault="00DF2746">
          <w:pPr>
            <w:pStyle w:val="TOC1"/>
            <w:tabs>
              <w:tab w:val="right" w:leader="dot" w:pos="9350"/>
            </w:tabs>
            <w:rPr>
              <w:noProof/>
              <w:kern w:val="2"/>
              <w:sz w:val="22"/>
              <w:szCs w:val="22"/>
              <w14:ligatures w14:val="standardContextual"/>
            </w:rPr>
          </w:pPr>
          <w:r w:rsidRPr="00A211FC">
            <w:rPr>
              <w:rFonts w:cstheme="minorHAnsi"/>
              <w:sz w:val="24"/>
              <w:szCs w:val="24"/>
            </w:rPr>
            <w:fldChar w:fldCharType="begin"/>
          </w:r>
          <w:r w:rsidRPr="00A211FC">
            <w:rPr>
              <w:rFonts w:cstheme="minorHAnsi"/>
              <w:sz w:val="24"/>
              <w:szCs w:val="24"/>
            </w:rPr>
            <w:instrText xml:space="preserve"> TOC \o "1-3" \h \z \u </w:instrText>
          </w:r>
          <w:r w:rsidRPr="00A211FC">
            <w:rPr>
              <w:rFonts w:cstheme="minorHAnsi"/>
              <w:sz w:val="24"/>
              <w:szCs w:val="24"/>
            </w:rPr>
            <w:fldChar w:fldCharType="separate"/>
          </w:r>
          <w:hyperlink w:anchor="_Toc185341474" w:history="1">
            <w:r w:rsidR="007F57FF" w:rsidRPr="00350B09">
              <w:rPr>
                <w:rStyle w:val="Hyperlink"/>
                <w:rFonts w:ascii="Merriweather" w:hAnsi="Merriweather"/>
                <w:noProof/>
              </w:rPr>
              <w:t>Antipsychotic Polypharmacy in Time Course: Evidence for a Cross-titration Trap</w:t>
            </w:r>
            <w:r w:rsidR="007F57FF">
              <w:rPr>
                <w:noProof/>
                <w:webHidden/>
              </w:rPr>
              <w:tab/>
            </w:r>
            <w:r w:rsidR="007F57FF">
              <w:rPr>
                <w:noProof/>
                <w:webHidden/>
              </w:rPr>
              <w:fldChar w:fldCharType="begin"/>
            </w:r>
            <w:r w:rsidR="007F57FF">
              <w:rPr>
                <w:noProof/>
                <w:webHidden/>
              </w:rPr>
              <w:instrText xml:space="preserve"> PAGEREF _Toc185341474 \h </w:instrText>
            </w:r>
            <w:r w:rsidR="007F57FF">
              <w:rPr>
                <w:noProof/>
                <w:webHidden/>
              </w:rPr>
            </w:r>
            <w:r w:rsidR="007F57FF">
              <w:rPr>
                <w:noProof/>
                <w:webHidden/>
              </w:rPr>
              <w:fldChar w:fldCharType="separate"/>
            </w:r>
            <w:r w:rsidR="007F57FF">
              <w:rPr>
                <w:noProof/>
                <w:webHidden/>
              </w:rPr>
              <w:t>2</w:t>
            </w:r>
            <w:r w:rsidR="007F57FF">
              <w:rPr>
                <w:noProof/>
                <w:webHidden/>
              </w:rPr>
              <w:fldChar w:fldCharType="end"/>
            </w:r>
          </w:hyperlink>
        </w:p>
        <w:p w14:paraId="6AC3A7D1" w14:textId="1B4C1A17" w:rsidR="007F57FF" w:rsidRDefault="007F57FF">
          <w:pPr>
            <w:pStyle w:val="TOC1"/>
            <w:tabs>
              <w:tab w:val="right" w:leader="dot" w:pos="9350"/>
            </w:tabs>
            <w:rPr>
              <w:noProof/>
              <w:kern w:val="2"/>
              <w:sz w:val="22"/>
              <w:szCs w:val="22"/>
              <w14:ligatures w14:val="standardContextual"/>
            </w:rPr>
          </w:pPr>
          <w:hyperlink w:anchor="_Toc185341475" w:history="1">
            <w:r w:rsidRPr="00350B09">
              <w:rPr>
                <w:rStyle w:val="Hyperlink"/>
                <w:rFonts w:ascii="Merriweather" w:hAnsi="Merriweather"/>
                <w:noProof/>
              </w:rPr>
              <w:t>Glucagon-like peptide agonists for weight management in antipsychotic-induced weight gain: A systematic review and meta-analysis</w:t>
            </w:r>
            <w:r>
              <w:rPr>
                <w:noProof/>
                <w:webHidden/>
              </w:rPr>
              <w:tab/>
            </w:r>
            <w:r>
              <w:rPr>
                <w:noProof/>
                <w:webHidden/>
              </w:rPr>
              <w:fldChar w:fldCharType="begin"/>
            </w:r>
            <w:r>
              <w:rPr>
                <w:noProof/>
                <w:webHidden/>
              </w:rPr>
              <w:instrText xml:space="preserve"> PAGEREF _Toc185341475 \h </w:instrText>
            </w:r>
            <w:r>
              <w:rPr>
                <w:noProof/>
                <w:webHidden/>
              </w:rPr>
            </w:r>
            <w:r>
              <w:rPr>
                <w:noProof/>
                <w:webHidden/>
              </w:rPr>
              <w:fldChar w:fldCharType="separate"/>
            </w:r>
            <w:r>
              <w:rPr>
                <w:noProof/>
                <w:webHidden/>
              </w:rPr>
              <w:t>3</w:t>
            </w:r>
            <w:r>
              <w:rPr>
                <w:noProof/>
                <w:webHidden/>
              </w:rPr>
              <w:fldChar w:fldCharType="end"/>
            </w:r>
          </w:hyperlink>
        </w:p>
        <w:p w14:paraId="6F09E765" w14:textId="29134531" w:rsidR="007F57FF" w:rsidRDefault="007F57FF">
          <w:pPr>
            <w:pStyle w:val="TOC1"/>
            <w:tabs>
              <w:tab w:val="right" w:leader="dot" w:pos="9350"/>
            </w:tabs>
            <w:rPr>
              <w:noProof/>
              <w:kern w:val="2"/>
              <w:sz w:val="22"/>
              <w:szCs w:val="22"/>
              <w14:ligatures w14:val="standardContextual"/>
            </w:rPr>
          </w:pPr>
          <w:hyperlink w:anchor="_Toc185341476" w:history="1">
            <w:r w:rsidRPr="00350B09">
              <w:rPr>
                <w:rStyle w:val="Hyperlink"/>
                <w:rFonts w:ascii="Merriweather" w:hAnsi="Merriweather"/>
                <w:noProof/>
              </w:rPr>
              <w:t>Dosing levels of antipsychotics and mood stabilizers in bipolar disorder: A Nationwide cohort study on relapse risk and treatment safety</w:t>
            </w:r>
            <w:r>
              <w:rPr>
                <w:noProof/>
                <w:webHidden/>
              </w:rPr>
              <w:tab/>
            </w:r>
            <w:r>
              <w:rPr>
                <w:noProof/>
                <w:webHidden/>
              </w:rPr>
              <w:fldChar w:fldCharType="begin"/>
            </w:r>
            <w:r>
              <w:rPr>
                <w:noProof/>
                <w:webHidden/>
              </w:rPr>
              <w:instrText xml:space="preserve"> PAGEREF _Toc185341476 \h </w:instrText>
            </w:r>
            <w:r>
              <w:rPr>
                <w:noProof/>
                <w:webHidden/>
              </w:rPr>
            </w:r>
            <w:r>
              <w:rPr>
                <w:noProof/>
                <w:webHidden/>
              </w:rPr>
              <w:fldChar w:fldCharType="separate"/>
            </w:r>
            <w:r>
              <w:rPr>
                <w:noProof/>
                <w:webHidden/>
              </w:rPr>
              <w:t>4</w:t>
            </w:r>
            <w:r>
              <w:rPr>
                <w:noProof/>
                <w:webHidden/>
              </w:rPr>
              <w:fldChar w:fldCharType="end"/>
            </w:r>
          </w:hyperlink>
        </w:p>
        <w:p w14:paraId="69FF122A" w14:textId="42A0FBE4" w:rsidR="007F57FF" w:rsidRDefault="007F57FF">
          <w:pPr>
            <w:pStyle w:val="TOC1"/>
            <w:tabs>
              <w:tab w:val="right" w:leader="dot" w:pos="9350"/>
            </w:tabs>
            <w:rPr>
              <w:noProof/>
              <w:kern w:val="2"/>
              <w:sz w:val="22"/>
              <w:szCs w:val="22"/>
              <w14:ligatures w14:val="standardContextual"/>
            </w:rPr>
          </w:pPr>
          <w:hyperlink w:anchor="_Toc185341477" w:history="1">
            <w:r w:rsidRPr="00350B09">
              <w:rPr>
                <w:rStyle w:val="Hyperlink"/>
                <w:rFonts w:ascii="Merriweather" w:hAnsi="Merriweather"/>
                <w:noProof/>
              </w:rPr>
              <w:t>The risk of diabetes and HbA1c deterioration during antipsychotic drug treatment: A Danish two-cohort study among patients with first-episode schizophrenia</w:t>
            </w:r>
            <w:r>
              <w:rPr>
                <w:noProof/>
                <w:webHidden/>
              </w:rPr>
              <w:tab/>
            </w:r>
            <w:r>
              <w:rPr>
                <w:noProof/>
                <w:webHidden/>
              </w:rPr>
              <w:fldChar w:fldCharType="begin"/>
            </w:r>
            <w:r>
              <w:rPr>
                <w:noProof/>
                <w:webHidden/>
              </w:rPr>
              <w:instrText xml:space="preserve"> PAGEREF _Toc185341477 \h </w:instrText>
            </w:r>
            <w:r>
              <w:rPr>
                <w:noProof/>
                <w:webHidden/>
              </w:rPr>
            </w:r>
            <w:r>
              <w:rPr>
                <w:noProof/>
                <w:webHidden/>
              </w:rPr>
              <w:fldChar w:fldCharType="separate"/>
            </w:r>
            <w:r>
              <w:rPr>
                <w:noProof/>
                <w:webHidden/>
              </w:rPr>
              <w:t>5</w:t>
            </w:r>
            <w:r>
              <w:rPr>
                <w:noProof/>
                <w:webHidden/>
              </w:rPr>
              <w:fldChar w:fldCharType="end"/>
            </w:r>
          </w:hyperlink>
        </w:p>
        <w:p w14:paraId="7968B47D" w14:textId="07F38969" w:rsidR="007F57FF" w:rsidRDefault="007F57FF">
          <w:pPr>
            <w:pStyle w:val="TOC1"/>
            <w:tabs>
              <w:tab w:val="right" w:leader="dot" w:pos="9350"/>
            </w:tabs>
            <w:rPr>
              <w:noProof/>
              <w:kern w:val="2"/>
              <w:sz w:val="22"/>
              <w:szCs w:val="22"/>
              <w14:ligatures w14:val="standardContextual"/>
            </w:rPr>
          </w:pPr>
          <w:hyperlink w:anchor="_Toc185341478" w:history="1">
            <w:r w:rsidRPr="00350B09">
              <w:rPr>
                <w:rStyle w:val="Hyperlink"/>
                <w:rFonts w:ascii="Merriweather" w:hAnsi="Merriweather"/>
                <w:noProof/>
              </w:rPr>
              <w:t>Comparative efficacy of interpersonal psychotherapy and antidepressant medication for adult depression: a systematic review and individual participant data meta-analysis</w:t>
            </w:r>
            <w:r>
              <w:rPr>
                <w:noProof/>
                <w:webHidden/>
              </w:rPr>
              <w:tab/>
            </w:r>
            <w:r>
              <w:rPr>
                <w:noProof/>
                <w:webHidden/>
              </w:rPr>
              <w:fldChar w:fldCharType="begin"/>
            </w:r>
            <w:r>
              <w:rPr>
                <w:noProof/>
                <w:webHidden/>
              </w:rPr>
              <w:instrText xml:space="preserve"> PAGEREF _Toc185341478 \h </w:instrText>
            </w:r>
            <w:r>
              <w:rPr>
                <w:noProof/>
                <w:webHidden/>
              </w:rPr>
            </w:r>
            <w:r>
              <w:rPr>
                <w:noProof/>
                <w:webHidden/>
              </w:rPr>
              <w:fldChar w:fldCharType="separate"/>
            </w:r>
            <w:r>
              <w:rPr>
                <w:noProof/>
                <w:webHidden/>
              </w:rPr>
              <w:t>5</w:t>
            </w:r>
            <w:r>
              <w:rPr>
                <w:noProof/>
                <w:webHidden/>
              </w:rPr>
              <w:fldChar w:fldCharType="end"/>
            </w:r>
          </w:hyperlink>
        </w:p>
        <w:p w14:paraId="40E11A71" w14:textId="12855916" w:rsidR="007F57FF" w:rsidRDefault="007F57FF">
          <w:pPr>
            <w:pStyle w:val="TOC1"/>
            <w:tabs>
              <w:tab w:val="right" w:leader="dot" w:pos="9350"/>
            </w:tabs>
            <w:rPr>
              <w:noProof/>
              <w:kern w:val="2"/>
              <w:sz w:val="22"/>
              <w:szCs w:val="22"/>
              <w14:ligatures w14:val="standardContextual"/>
            </w:rPr>
          </w:pPr>
          <w:hyperlink w:anchor="_Toc185341479" w:history="1">
            <w:r w:rsidRPr="00350B09">
              <w:rPr>
                <w:rStyle w:val="Hyperlink"/>
                <w:rFonts w:ascii="Merriweather" w:hAnsi="Merriweather"/>
                <w:noProof/>
              </w:rPr>
              <w:t>Intended And Unintended Outcomes After FDA Pediatric Antidepressant Warnings: A Systematic Review</w:t>
            </w:r>
            <w:r>
              <w:rPr>
                <w:noProof/>
                <w:webHidden/>
              </w:rPr>
              <w:tab/>
            </w:r>
            <w:r>
              <w:rPr>
                <w:noProof/>
                <w:webHidden/>
              </w:rPr>
              <w:fldChar w:fldCharType="begin"/>
            </w:r>
            <w:r>
              <w:rPr>
                <w:noProof/>
                <w:webHidden/>
              </w:rPr>
              <w:instrText xml:space="preserve"> PAGEREF _Toc185341479 \h </w:instrText>
            </w:r>
            <w:r>
              <w:rPr>
                <w:noProof/>
                <w:webHidden/>
              </w:rPr>
            </w:r>
            <w:r>
              <w:rPr>
                <w:noProof/>
                <w:webHidden/>
              </w:rPr>
              <w:fldChar w:fldCharType="separate"/>
            </w:r>
            <w:r>
              <w:rPr>
                <w:noProof/>
                <w:webHidden/>
              </w:rPr>
              <w:t>6</w:t>
            </w:r>
            <w:r>
              <w:rPr>
                <w:noProof/>
                <w:webHidden/>
              </w:rPr>
              <w:fldChar w:fldCharType="end"/>
            </w:r>
          </w:hyperlink>
        </w:p>
        <w:p w14:paraId="16C044C8" w14:textId="0D1343DA" w:rsidR="007F57FF" w:rsidRDefault="007F57FF">
          <w:pPr>
            <w:pStyle w:val="TOC1"/>
            <w:tabs>
              <w:tab w:val="right" w:leader="dot" w:pos="9350"/>
            </w:tabs>
            <w:rPr>
              <w:noProof/>
              <w:kern w:val="2"/>
              <w:sz w:val="22"/>
              <w:szCs w:val="22"/>
              <w14:ligatures w14:val="standardContextual"/>
            </w:rPr>
          </w:pPr>
          <w:hyperlink w:anchor="_Toc185341480" w:history="1">
            <w:r w:rsidRPr="00350B09">
              <w:rPr>
                <w:rStyle w:val="Hyperlink"/>
                <w:rFonts w:ascii="Merriweather" w:hAnsi="Merriweather"/>
                <w:noProof/>
              </w:rPr>
              <w:t>Emergency Department Visits Involving Hallucinogen Use and Risk of Schizophrenia Spectrum Disorder</w:t>
            </w:r>
            <w:r>
              <w:rPr>
                <w:noProof/>
                <w:webHidden/>
              </w:rPr>
              <w:tab/>
            </w:r>
            <w:r>
              <w:rPr>
                <w:noProof/>
                <w:webHidden/>
              </w:rPr>
              <w:fldChar w:fldCharType="begin"/>
            </w:r>
            <w:r>
              <w:rPr>
                <w:noProof/>
                <w:webHidden/>
              </w:rPr>
              <w:instrText xml:space="preserve"> PAGEREF _Toc185341480 \h </w:instrText>
            </w:r>
            <w:r>
              <w:rPr>
                <w:noProof/>
                <w:webHidden/>
              </w:rPr>
            </w:r>
            <w:r>
              <w:rPr>
                <w:noProof/>
                <w:webHidden/>
              </w:rPr>
              <w:fldChar w:fldCharType="separate"/>
            </w:r>
            <w:r>
              <w:rPr>
                <w:noProof/>
                <w:webHidden/>
              </w:rPr>
              <w:t>6</w:t>
            </w:r>
            <w:r>
              <w:rPr>
                <w:noProof/>
                <w:webHidden/>
              </w:rPr>
              <w:fldChar w:fldCharType="end"/>
            </w:r>
          </w:hyperlink>
        </w:p>
        <w:p w14:paraId="691B7D6D" w14:textId="70FB47A1" w:rsidR="007F57FF" w:rsidRDefault="007F57FF">
          <w:pPr>
            <w:pStyle w:val="TOC1"/>
            <w:tabs>
              <w:tab w:val="right" w:leader="dot" w:pos="9350"/>
            </w:tabs>
            <w:rPr>
              <w:noProof/>
              <w:kern w:val="2"/>
              <w:sz w:val="22"/>
              <w:szCs w:val="22"/>
              <w14:ligatures w14:val="standardContextual"/>
            </w:rPr>
          </w:pPr>
          <w:hyperlink w:anchor="_Toc185341481" w:history="1">
            <w:r w:rsidRPr="00350B09">
              <w:rPr>
                <w:rStyle w:val="Hyperlink"/>
                <w:rFonts w:ascii="Merriweather" w:hAnsi="Merriweather"/>
                <w:noProof/>
              </w:rPr>
              <w:t>The D*Phase-study: Comparing short-term psychodynamic psychotherapy and cognitive behavioural therapy for major depressive disorder in a randomised controlled non-inferiority trial</w:t>
            </w:r>
            <w:r>
              <w:rPr>
                <w:noProof/>
                <w:webHidden/>
              </w:rPr>
              <w:tab/>
            </w:r>
            <w:r>
              <w:rPr>
                <w:noProof/>
                <w:webHidden/>
              </w:rPr>
              <w:fldChar w:fldCharType="begin"/>
            </w:r>
            <w:r>
              <w:rPr>
                <w:noProof/>
                <w:webHidden/>
              </w:rPr>
              <w:instrText xml:space="preserve"> PAGEREF _Toc185341481 \h </w:instrText>
            </w:r>
            <w:r>
              <w:rPr>
                <w:noProof/>
                <w:webHidden/>
              </w:rPr>
            </w:r>
            <w:r>
              <w:rPr>
                <w:noProof/>
                <w:webHidden/>
              </w:rPr>
              <w:fldChar w:fldCharType="separate"/>
            </w:r>
            <w:r>
              <w:rPr>
                <w:noProof/>
                <w:webHidden/>
              </w:rPr>
              <w:t>7</w:t>
            </w:r>
            <w:r>
              <w:rPr>
                <w:noProof/>
                <w:webHidden/>
              </w:rPr>
              <w:fldChar w:fldCharType="end"/>
            </w:r>
          </w:hyperlink>
        </w:p>
        <w:p w14:paraId="5EA7B775" w14:textId="56350041" w:rsidR="007F57FF" w:rsidRDefault="007F57FF">
          <w:pPr>
            <w:pStyle w:val="TOC1"/>
            <w:tabs>
              <w:tab w:val="right" w:leader="dot" w:pos="9350"/>
            </w:tabs>
            <w:rPr>
              <w:noProof/>
              <w:kern w:val="2"/>
              <w:sz w:val="22"/>
              <w:szCs w:val="22"/>
              <w14:ligatures w14:val="standardContextual"/>
            </w:rPr>
          </w:pPr>
          <w:hyperlink w:anchor="_Toc185341482" w:history="1">
            <w:r w:rsidRPr="00350B09">
              <w:rPr>
                <w:rStyle w:val="Hyperlink"/>
                <w:rFonts w:ascii="Merriweather" w:hAnsi="Merriweather"/>
                <w:noProof/>
              </w:rPr>
              <w:t>Depression and the risk of fibromyalgia syndrome: a two-sample Mendelian randomization study</w:t>
            </w:r>
            <w:r>
              <w:rPr>
                <w:noProof/>
                <w:webHidden/>
              </w:rPr>
              <w:tab/>
            </w:r>
            <w:r>
              <w:rPr>
                <w:noProof/>
                <w:webHidden/>
              </w:rPr>
              <w:fldChar w:fldCharType="begin"/>
            </w:r>
            <w:r>
              <w:rPr>
                <w:noProof/>
                <w:webHidden/>
              </w:rPr>
              <w:instrText xml:space="preserve"> PAGEREF _Toc185341482 \h </w:instrText>
            </w:r>
            <w:r>
              <w:rPr>
                <w:noProof/>
                <w:webHidden/>
              </w:rPr>
            </w:r>
            <w:r>
              <w:rPr>
                <w:noProof/>
                <w:webHidden/>
              </w:rPr>
              <w:fldChar w:fldCharType="separate"/>
            </w:r>
            <w:r>
              <w:rPr>
                <w:noProof/>
                <w:webHidden/>
              </w:rPr>
              <w:t>8</w:t>
            </w:r>
            <w:r>
              <w:rPr>
                <w:noProof/>
                <w:webHidden/>
              </w:rPr>
              <w:fldChar w:fldCharType="end"/>
            </w:r>
          </w:hyperlink>
        </w:p>
        <w:p w14:paraId="6335DCD1" w14:textId="4DA8801B" w:rsidR="007F57FF" w:rsidRDefault="007F57FF">
          <w:pPr>
            <w:pStyle w:val="TOC1"/>
            <w:tabs>
              <w:tab w:val="right" w:leader="dot" w:pos="9350"/>
            </w:tabs>
            <w:rPr>
              <w:noProof/>
              <w:kern w:val="2"/>
              <w:sz w:val="22"/>
              <w:szCs w:val="22"/>
              <w14:ligatures w14:val="standardContextual"/>
            </w:rPr>
          </w:pPr>
          <w:hyperlink w:anchor="_Toc185341483" w:history="1">
            <w:r w:rsidRPr="00350B09">
              <w:rPr>
                <w:rStyle w:val="Hyperlink"/>
                <w:rFonts w:ascii="Merriweather" w:hAnsi="Merriweather"/>
                <w:noProof/>
              </w:rPr>
              <w:t>Prediction of borderline personality disorder based on childhood trauma with the mediating role of experiential avoidance</w:t>
            </w:r>
            <w:r>
              <w:rPr>
                <w:noProof/>
                <w:webHidden/>
              </w:rPr>
              <w:tab/>
            </w:r>
            <w:r>
              <w:rPr>
                <w:noProof/>
                <w:webHidden/>
              </w:rPr>
              <w:fldChar w:fldCharType="begin"/>
            </w:r>
            <w:r>
              <w:rPr>
                <w:noProof/>
                <w:webHidden/>
              </w:rPr>
              <w:instrText xml:space="preserve"> PAGEREF _Toc185341483 \h </w:instrText>
            </w:r>
            <w:r>
              <w:rPr>
                <w:noProof/>
                <w:webHidden/>
              </w:rPr>
            </w:r>
            <w:r>
              <w:rPr>
                <w:noProof/>
                <w:webHidden/>
              </w:rPr>
              <w:fldChar w:fldCharType="separate"/>
            </w:r>
            <w:r>
              <w:rPr>
                <w:noProof/>
                <w:webHidden/>
              </w:rPr>
              <w:t>9</w:t>
            </w:r>
            <w:r>
              <w:rPr>
                <w:noProof/>
                <w:webHidden/>
              </w:rPr>
              <w:fldChar w:fldCharType="end"/>
            </w:r>
          </w:hyperlink>
        </w:p>
        <w:p w14:paraId="24652B8C" w14:textId="37226EDE" w:rsidR="007F57FF" w:rsidRDefault="007F57FF">
          <w:pPr>
            <w:pStyle w:val="TOC2"/>
            <w:tabs>
              <w:tab w:val="right" w:leader="dot" w:pos="9350"/>
            </w:tabs>
            <w:rPr>
              <w:rFonts w:eastAsiaTheme="minorEastAsia"/>
              <w:noProof/>
              <w:kern w:val="2"/>
              <w14:ligatures w14:val="standardContextual"/>
            </w:rPr>
          </w:pPr>
          <w:hyperlink w:anchor="_Toc185341484" w:history="1">
            <w:r w:rsidRPr="00350B09">
              <w:rPr>
                <w:rStyle w:val="Hyperlink"/>
                <w:noProof/>
              </w:rPr>
              <w:t>Interesting Viewpoints</w:t>
            </w:r>
            <w:r>
              <w:rPr>
                <w:noProof/>
                <w:webHidden/>
              </w:rPr>
              <w:tab/>
            </w:r>
            <w:r>
              <w:rPr>
                <w:noProof/>
                <w:webHidden/>
              </w:rPr>
              <w:fldChar w:fldCharType="begin"/>
            </w:r>
            <w:r>
              <w:rPr>
                <w:noProof/>
                <w:webHidden/>
              </w:rPr>
              <w:instrText xml:space="preserve"> PAGEREF _Toc185341484 \h </w:instrText>
            </w:r>
            <w:r>
              <w:rPr>
                <w:noProof/>
                <w:webHidden/>
              </w:rPr>
            </w:r>
            <w:r>
              <w:rPr>
                <w:noProof/>
                <w:webHidden/>
              </w:rPr>
              <w:fldChar w:fldCharType="separate"/>
            </w:r>
            <w:r>
              <w:rPr>
                <w:noProof/>
                <w:webHidden/>
              </w:rPr>
              <w:t>10</w:t>
            </w:r>
            <w:r>
              <w:rPr>
                <w:noProof/>
                <w:webHidden/>
              </w:rPr>
              <w:fldChar w:fldCharType="end"/>
            </w:r>
          </w:hyperlink>
        </w:p>
        <w:p w14:paraId="584469BB" w14:textId="5C89663F" w:rsidR="007F57FF" w:rsidRDefault="007F57FF">
          <w:pPr>
            <w:pStyle w:val="TOC1"/>
            <w:tabs>
              <w:tab w:val="right" w:leader="dot" w:pos="9350"/>
            </w:tabs>
            <w:rPr>
              <w:noProof/>
              <w:kern w:val="2"/>
              <w:sz w:val="22"/>
              <w:szCs w:val="22"/>
              <w14:ligatures w14:val="standardContextual"/>
            </w:rPr>
          </w:pPr>
          <w:hyperlink w:anchor="_Toc185341485" w:history="1">
            <w:r w:rsidRPr="00350B09">
              <w:rPr>
                <w:rStyle w:val="Hyperlink"/>
                <w:rFonts w:ascii="Merriweather" w:hAnsi="Merriweather"/>
                <w:noProof/>
              </w:rPr>
              <w:t>How Should We Expand Access to Psychedelics While Maintaining an Environment of Peace and Safety?</w:t>
            </w:r>
            <w:r>
              <w:rPr>
                <w:noProof/>
                <w:webHidden/>
              </w:rPr>
              <w:tab/>
            </w:r>
            <w:r>
              <w:rPr>
                <w:noProof/>
                <w:webHidden/>
              </w:rPr>
              <w:fldChar w:fldCharType="begin"/>
            </w:r>
            <w:r>
              <w:rPr>
                <w:noProof/>
                <w:webHidden/>
              </w:rPr>
              <w:instrText xml:space="preserve"> PAGEREF _Toc185341485 \h </w:instrText>
            </w:r>
            <w:r>
              <w:rPr>
                <w:noProof/>
                <w:webHidden/>
              </w:rPr>
            </w:r>
            <w:r>
              <w:rPr>
                <w:noProof/>
                <w:webHidden/>
              </w:rPr>
              <w:fldChar w:fldCharType="separate"/>
            </w:r>
            <w:r>
              <w:rPr>
                <w:noProof/>
                <w:webHidden/>
              </w:rPr>
              <w:t>10</w:t>
            </w:r>
            <w:r>
              <w:rPr>
                <w:noProof/>
                <w:webHidden/>
              </w:rPr>
              <w:fldChar w:fldCharType="end"/>
            </w:r>
          </w:hyperlink>
        </w:p>
        <w:p w14:paraId="53991CE6" w14:textId="0B3E5F0A" w:rsidR="007F57FF" w:rsidRDefault="007F57FF">
          <w:pPr>
            <w:pStyle w:val="TOC1"/>
            <w:tabs>
              <w:tab w:val="right" w:leader="dot" w:pos="9350"/>
            </w:tabs>
            <w:rPr>
              <w:noProof/>
              <w:kern w:val="2"/>
              <w:sz w:val="22"/>
              <w:szCs w:val="22"/>
              <w14:ligatures w14:val="standardContextual"/>
            </w:rPr>
          </w:pPr>
          <w:hyperlink w:anchor="_Toc185341486" w:history="1">
            <w:r w:rsidRPr="00350B09">
              <w:rPr>
                <w:rStyle w:val="Hyperlink"/>
                <w:rFonts w:ascii="Merriweather" w:hAnsi="Merriweather"/>
                <w:noProof/>
              </w:rPr>
              <w:t>Advancing ketamine in the treatment hierarchy for refractory depression</w:t>
            </w:r>
            <w:r>
              <w:rPr>
                <w:noProof/>
                <w:webHidden/>
              </w:rPr>
              <w:tab/>
            </w:r>
            <w:r>
              <w:rPr>
                <w:noProof/>
                <w:webHidden/>
              </w:rPr>
              <w:fldChar w:fldCharType="begin"/>
            </w:r>
            <w:r>
              <w:rPr>
                <w:noProof/>
                <w:webHidden/>
              </w:rPr>
              <w:instrText xml:space="preserve"> PAGEREF _Toc185341486 \h </w:instrText>
            </w:r>
            <w:r>
              <w:rPr>
                <w:noProof/>
                <w:webHidden/>
              </w:rPr>
            </w:r>
            <w:r>
              <w:rPr>
                <w:noProof/>
                <w:webHidden/>
              </w:rPr>
              <w:fldChar w:fldCharType="separate"/>
            </w:r>
            <w:r>
              <w:rPr>
                <w:noProof/>
                <w:webHidden/>
              </w:rPr>
              <w:t>10</w:t>
            </w:r>
            <w:r>
              <w:rPr>
                <w:noProof/>
                <w:webHidden/>
              </w:rPr>
              <w:fldChar w:fldCharType="end"/>
            </w:r>
          </w:hyperlink>
        </w:p>
        <w:p w14:paraId="73FC0091" w14:textId="33F687F6" w:rsidR="008953B5" w:rsidRDefault="00DF2746" w:rsidP="0045378A">
          <w:pPr>
            <w:rPr>
              <w:rFonts w:cstheme="minorHAnsi"/>
              <w:noProof/>
              <w:sz w:val="24"/>
              <w:szCs w:val="24"/>
            </w:rPr>
          </w:pPr>
          <w:r w:rsidRPr="00A211FC">
            <w:rPr>
              <w:rFonts w:cstheme="minorHAnsi"/>
              <w:noProof/>
              <w:sz w:val="24"/>
              <w:szCs w:val="24"/>
            </w:rPr>
            <w:fldChar w:fldCharType="end"/>
          </w:r>
        </w:p>
        <w:p w14:paraId="4D666B80" w14:textId="77777777" w:rsidR="007411FF" w:rsidRDefault="00000000" w:rsidP="007411FF">
          <w:pPr>
            <w:rPr>
              <w:rFonts w:cstheme="minorHAnsi"/>
              <w:noProof/>
              <w:sz w:val="24"/>
              <w:szCs w:val="24"/>
            </w:rPr>
          </w:pPr>
        </w:p>
      </w:sdtContent>
    </w:sdt>
    <w:p w14:paraId="4C448C7F" w14:textId="77777777" w:rsidR="00B61B32" w:rsidRDefault="00B61B32" w:rsidP="006972A3">
      <w:pPr>
        <w:pStyle w:val="Heading2"/>
      </w:pPr>
    </w:p>
    <w:p w14:paraId="235AC5FC" w14:textId="77777777" w:rsidR="00B61B32" w:rsidRDefault="00B61B32" w:rsidP="006972A3">
      <w:pPr>
        <w:pStyle w:val="Heading2"/>
      </w:pPr>
    </w:p>
    <w:p w14:paraId="3ABCA715" w14:textId="77777777" w:rsidR="00B61B32" w:rsidRDefault="00B61B32" w:rsidP="00B61B32">
      <w:pPr>
        <w:pStyle w:val="Heading1"/>
        <w:shd w:val="clear" w:color="auto" w:fill="FFFFFF"/>
        <w:rPr>
          <w:rFonts w:ascii="Merriweather" w:hAnsi="Merriweather"/>
          <w:color w:val="212121"/>
        </w:rPr>
      </w:pPr>
      <w:bookmarkStart w:id="0" w:name="_Toc185341474"/>
      <w:r>
        <w:rPr>
          <w:rFonts w:ascii="Merriweather" w:hAnsi="Merriweather"/>
          <w:color w:val="212121"/>
        </w:rPr>
        <w:t>Antipsychotic Polypharmacy in Time Course: Evidence for a Cross-titration Trap</w:t>
      </w:r>
      <w:bookmarkEnd w:id="0"/>
    </w:p>
    <w:p w14:paraId="79FDD09C" w14:textId="77777777" w:rsidR="00B61B32" w:rsidRDefault="00B61B32" w:rsidP="006972A3">
      <w:pPr>
        <w:pStyle w:val="Heading2"/>
      </w:pPr>
    </w:p>
    <w:p w14:paraId="79880ECC" w14:textId="50A18DA5" w:rsidR="00B61B32" w:rsidRDefault="00B61B32" w:rsidP="00B61B32">
      <w:r w:rsidRPr="00B61B32">
        <w:t xml:space="preserve">Lochmann van </w:t>
      </w:r>
      <w:proofErr w:type="spellStart"/>
      <w:r w:rsidRPr="00B61B32">
        <w:t>Bennekom</w:t>
      </w:r>
      <w:proofErr w:type="spellEnd"/>
      <w:r w:rsidRPr="00B61B32">
        <w:t xml:space="preserve"> MWH, </w:t>
      </w:r>
      <w:proofErr w:type="spellStart"/>
      <w:r w:rsidRPr="00B61B32">
        <w:t>Gijsman</w:t>
      </w:r>
      <w:proofErr w:type="spellEnd"/>
      <w:r w:rsidRPr="00B61B32">
        <w:t xml:space="preserve"> HJ, </w:t>
      </w:r>
      <w:proofErr w:type="spellStart"/>
      <w:r w:rsidRPr="00B61B32">
        <w:t>IntHout</w:t>
      </w:r>
      <w:proofErr w:type="spellEnd"/>
      <w:r w:rsidRPr="00B61B32">
        <w:t xml:space="preserve"> J, </w:t>
      </w:r>
      <w:proofErr w:type="spellStart"/>
      <w:r w:rsidRPr="00B61B32">
        <w:t>Verkes</w:t>
      </w:r>
      <w:proofErr w:type="spellEnd"/>
      <w:r w:rsidRPr="00B61B32">
        <w:t xml:space="preserve"> RJ. Antipsychotic Polypharmacy in Time Course: Evidence for a Cross-titration Trap. J Clin </w:t>
      </w:r>
      <w:proofErr w:type="spellStart"/>
      <w:r w:rsidRPr="00B61B32">
        <w:t>Psychopharmacol</w:t>
      </w:r>
      <w:proofErr w:type="spellEnd"/>
      <w:r w:rsidRPr="00B61B32">
        <w:t xml:space="preserve">. 2024 Oct 19. </w:t>
      </w:r>
      <w:proofErr w:type="spellStart"/>
      <w:r w:rsidRPr="00B61B32">
        <w:t>doi</w:t>
      </w:r>
      <w:proofErr w:type="spellEnd"/>
      <w:r w:rsidRPr="00B61B32">
        <w:t xml:space="preserve">: 10.1097/JCP.0000000000001916. </w:t>
      </w:r>
      <w:proofErr w:type="spellStart"/>
      <w:r w:rsidRPr="00B61B32">
        <w:t>Epub</w:t>
      </w:r>
      <w:proofErr w:type="spellEnd"/>
      <w:r w:rsidRPr="00B61B32">
        <w:t xml:space="preserve"> ahead of print. </w:t>
      </w:r>
      <w:hyperlink r:id="rId9" w:history="1">
        <w:r w:rsidRPr="00B61B32">
          <w:rPr>
            <w:rStyle w:val="Hyperlink"/>
          </w:rPr>
          <w:t>PMID: 39423305</w:t>
        </w:r>
      </w:hyperlink>
      <w:r w:rsidRPr="00B61B32">
        <w:t>.</w:t>
      </w:r>
    </w:p>
    <w:p w14:paraId="34B912B8" w14:textId="77777777" w:rsidR="00B61B32" w:rsidRPr="00B61B32" w:rsidRDefault="00B61B32" w:rsidP="00B61B32">
      <w:r w:rsidRPr="00B61B32">
        <w:rPr>
          <w:b/>
          <w:bCs/>
        </w:rPr>
        <w:lastRenderedPageBreak/>
        <w:t>Purpose/background: </w:t>
      </w:r>
      <w:r w:rsidRPr="00B61B32">
        <w:t>Antipsychotic polypharmacy (APP) is controversial yet applied in 20% of patients with psychotic disorders. We investigated indications for initiating and continuing APP, including the contribution of unfinished cross-titrations.</w:t>
      </w:r>
    </w:p>
    <w:p w14:paraId="3B0FFEDA" w14:textId="77777777" w:rsidR="00B61B32" w:rsidRPr="00B61B32" w:rsidRDefault="00B61B32" w:rsidP="00B61B32">
      <w:r w:rsidRPr="00B61B32">
        <w:rPr>
          <w:b/>
          <w:bCs/>
        </w:rPr>
        <w:t>Methods/procedures: </w:t>
      </w:r>
      <w:r w:rsidRPr="00B61B32">
        <w:t>This 2-month study was part of a prospective study to reduce inappropriate APP in inpatients. With each new prescription resulting in APP, we asked the prescriber for the indication (</w:t>
      </w:r>
      <w:proofErr w:type="spellStart"/>
      <w:r w:rsidRPr="00B61B32">
        <w:t>eg</w:t>
      </w:r>
      <w:proofErr w:type="spellEnd"/>
      <w:r w:rsidRPr="00B61B32">
        <w:t>, switching antipsychotics, sedation for agitation/sleep disorders, treatment refractoriness, other) and repeated this at 30 and 60 days. Secondary outcome was unfinished cross-titration at 60 days.</w:t>
      </w:r>
    </w:p>
    <w:p w14:paraId="6FB0BB26" w14:textId="77777777" w:rsidR="00B61B32" w:rsidRPr="00B61B32" w:rsidRDefault="00B61B32" w:rsidP="00B61B32">
      <w:r w:rsidRPr="00B61B32">
        <w:rPr>
          <w:b/>
          <w:bCs/>
        </w:rPr>
        <w:t>Findings/results: </w:t>
      </w:r>
      <w:r w:rsidRPr="00B61B32">
        <w:t>In a consecutive cohort of 55 patients, 80% diagnosed with schizophrenia, switching antipsychotics was the primary initial indication for APP in 31 of 55 patients (56%), followed by sedation in 12 of 55 patients (22%), and treatment refractoriness in 10 of 55 patients (18%). Overall, APP was discontinued after 30 days in 25 of 55 patients (45%) and after 60 days in 28 of 55 patients (51%). At 60 days, APP initiated for switching antipsychotics was ongoing in 9 of 31 patients (29%), APP initiated for sedation was ongoing in 8 of 12 patients (66%), and APP initiated for refractoriness was ongoing in 9 of 10 patients (90%). The initial indication for APP was maintained at 60 days in 21 of 27 patients (78%). Unfinished cross-titration occurred in 9 of 31 patients (29%) with APP initiated for switching antipsychotics.</w:t>
      </w:r>
    </w:p>
    <w:p w14:paraId="6A08855B" w14:textId="77777777" w:rsidR="00B61B32" w:rsidRPr="00B61B32" w:rsidRDefault="00B61B32" w:rsidP="00B61B32">
      <w:r w:rsidRPr="00B61B32">
        <w:rPr>
          <w:b/>
          <w:bCs/>
        </w:rPr>
        <w:t>Implications/conclusions: </w:t>
      </w:r>
      <w:r w:rsidRPr="00B61B32">
        <w:t>APP was initiated primarily because of cross-titration switching of antipsychotics. The reason for APP was generally maintained consistently over time, particularly when initiated for treatment refractoriness. Of all patients with APP initiated to switch antipsychotics, 29% ended in unfinished cross-titration.</w:t>
      </w:r>
    </w:p>
    <w:p w14:paraId="554B8708" w14:textId="77777777" w:rsidR="00B61B32" w:rsidRPr="00B61B32" w:rsidRDefault="00B61B32" w:rsidP="00B61B32"/>
    <w:p w14:paraId="7083B5D1" w14:textId="77777777" w:rsidR="00B61B32" w:rsidRDefault="00B61B32" w:rsidP="00B61B32">
      <w:pPr>
        <w:pStyle w:val="Heading1"/>
        <w:shd w:val="clear" w:color="auto" w:fill="FFFFFF"/>
        <w:rPr>
          <w:rFonts w:ascii="Merriweather" w:hAnsi="Merriweather"/>
          <w:color w:val="212121"/>
        </w:rPr>
      </w:pPr>
      <w:bookmarkStart w:id="1" w:name="_Toc185341475"/>
      <w:r>
        <w:rPr>
          <w:rFonts w:ascii="Merriweather" w:hAnsi="Merriweather"/>
          <w:color w:val="212121"/>
        </w:rPr>
        <w:t>Glucagon-like peptide agonists for weight management in antipsychotic-induced weight gain: A systematic review and meta-analysis</w:t>
      </w:r>
      <w:bookmarkEnd w:id="1"/>
    </w:p>
    <w:p w14:paraId="366CAAEB" w14:textId="77777777" w:rsidR="00B61B32" w:rsidRDefault="00B61B32" w:rsidP="006972A3">
      <w:pPr>
        <w:pStyle w:val="Heading2"/>
      </w:pPr>
    </w:p>
    <w:p w14:paraId="73F65705" w14:textId="5EDFDE8F" w:rsidR="00B61B32" w:rsidRDefault="00B61B32" w:rsidP="00B61B32">
      <w:r w:rsidRPr="00B61B32">
        <w:t xml:space="preserve">Bak M, </w:t>
      </w:r>
      <w:proofErr w:type="spellStart"/>
      <w:r w:rsidRPr="00B61B32">
        <w:t>Campforts</w:t>
      </w:r>
      <w:proofErr w:type="spellEnd"/>
      <w:r w:rsidRPr="00B61B32">
        <w:t xml:space="preserve"> B, Domen P, van Amelsvoort T, Drukker M. Glucagon-like peptide agonists for weight management in antipsychotic-induced weight gain: A systematic review and meta-analysis. Acta </w:t>
      </w:r>
      <w:proofErr w:type="spellStart"/>
      <w:r w:rsidRPr="00B61B32">
        <w:t>Psychiatr</w:t>
      </w:r>
      <w:proofErr w:type="spellEnd"/>
      <w:r w:rsidRPr="00B61B32">
        <w:t xml:space="preserve"> Scand. 2024 Dec;150(6):516-529. </w:t>
      </w:r>
      <w:proofErr w:type="spellStart"/>
      <w:r w:rsidRPr="00B61B32">
        <w:t>doi</w:t>
      </w:r>
      <w:proofErr w:type="spellEnd"/>
      <w:r w:rsidRPr="00B61B32">
        <w:t xml:space="preserve">: 10.1111/acps.13734. </w:t>
      </w:r>
      <w:proofErr w:type="spellStart"/>
      <w:r w:rsidRPr="00B61B32">
        <w:t>Epub</w:t>
      </w:r>
      <w:proofErr w:type="spellEnd"/>
      <w:r w:rsidRPr="00B61B32">
        <w:t xml:space="preserve"> 2024 Jul 24. </w:t>
      </w:r>
      <w:hyperlink r:id="rId10" w:history="1">
        <w:r w:rsidRPr="00B61B32">
          <w:rPr>
            <w:rStyle w:val="Hyperlink"/>
          </w:rPr>
          <w:t>PMID: 39048532</w:t>
        </w:r>
      </w:hyperlink>
      <w:r w:rsidRPr="00B61B32">
        <w:t>.</w:t>
      </w:r>
    </w:p>
    <w:p w14:paraId="0557416A" w14:textId="77777777" w:rsidR="00B61B32" w:rsidRPr="00B61B32" w:rsidRDefault="00B61B32" w:rsidP="00B61B32">
      <w:r w:rsidRPr="00B61B32">
        <w:rPr>
          <w:b/>
          <w:bCs/>
        </w:rPr>
        <w:t>Introduction: </w:t>
      </w:r>
      <w:r w:rsidRPr="00B61B32">
        <w:t>Managing body weight in patients with antipsychotic-induced weight gain (AIWG) is challenging. Besides lifestyle interventions, pharmacological interventions may contribute to weight loss. This systematic review and meta-analysis evaluated the effect on weight loss and adverse effects of glucagon-like peptide-1 (GLP-1) agonists in patients with AIWG.</w:t>
      </w:r>
    </w:p>
    <w:p w14:paraId="7F75414B" w14:textId="77777777" w:rsidR="00B61B32" w:rsidRPr="00B61B32" w:rsidRDefault="00B61B32" w:rsidP="00B61B32">
      <w:r w:rsidRPr="00B61B32">
        <w:rPr>
          <w:b/>
          <w:bCs/>
        </w:rPr>
        <w:t>Materials and methods: </w:t>
      </w:r>
      <w:r w:rsidRPr="00B61B32">
        <w:t xml:space="preserve">Following PRISMA guidelines, we performed a meta-analysis of blinded and open-label </w:t>
      </w:r>
      <w:proofErr w:type="spellStart"/>
      <w:r w:rsidRPr="00B61B32">
        <w:t>randomised</w:t>
      </w:r>
      <w:proofErr w:type="spellEnd"/>
      <w:r w:rsidRPr="00B61B32">
        <w:t xml:space="preserve"> controlled trials (RCTs), non-</w:t>
      </w:r>
      <w:proofErr w:type="spellStart"/>
      <w:r w:rsidRPr="00B61B32">
        <w:t>randomised</w:t>
      </w:r>
      <w:proofErr w:type="spellEnd"/>
      <w:r w:rsidRPr="00B61B32">
        <w:t xml:space="preserve"> controlled trials and cohort studies that evaluated treatment with GLP-1 in patients with AIWG, regardless of psychiatric diagnosis. PubMed, Embase, PsycINFO and Cochrane Library databases were searched. Primary outcome measures were changes in body weight and BMI. Secondary outcomes were changes in adverse effects and severity of psychopathology due to GLP-1 agonists.</w:t>
      </w:r>
    </w:p>
    <w:p w14:paraId="5056C684" w14:textId="77777777" w:rsidR="00B61B32" w:rsidRPr="00B61B32" w:rsidRDefault="00B61B32" w:rsidP="00B61B32">
      <w:r w:rsidRPr="00B61B32">
        <w:rPr>
          <w:b/>
          <w:bCs/>
        </w:rPr>
        <w:lastRenderedPageBreak/>
        <w:t>Results: </w:t>
      </w:r>
      <w:r w:rsidRPr="00B61B32">
        <w:t xml:space="preserve">Only data for exenatide and liraglutide could be included, that is, five RCTs and one cohort study. For exenatide the mean weight loss was -2.48 kg (95% Confidence Interval (CI) -5.12 to +0.64; p = 0.07), for liraglutide the mean weight loss was -4.70 kg (95% CI -4.85 to -4.56; p &lt; 0.001). The mean change in BMI was -0.82 (95% CI -1.56 to -0.09; p = 0.03) in the exenatide groups and -1.52 (95% CI -1.83 to -1.22; p &lt; 0.001) in the liraglutide groups. Exenatide and liraglutide did not adversely affect psychopathology. The most common adverse events were nausea, vomiting, and </w:t>
      </w:r>
      <w:proofErr w:type="spellStart"/>
      <w:r w:rsidRPr="00B61B32">
        <w:t>diarrhoea</w:t>
      </w:r>
      <w:proofErr w:type="spellEnd"/>
      <w:r w:rsidRPr="00B61B32">
        <w:t>.</w:t>
      </w:r>
    </w:p>
    <w:p w14:paraId="2C0AA1ED" w14:textId="77777777" w:rsidR="00B61B32" w:rsidRPr="00B61B32" w:rsidRDefault="00B61B32" w:rsidP="00B61B32">
      <w:r w:rsidRPr="00B61B32">
        <w:rPr>
          <w:b/>
          <w:bCs/>
        </w:rPr>
        <w:t>Conclusion: </w:t>
      </w:r>
      <w:r w:rsidRPr="00B61B32">
        <w:t>The GLP-1 agonists exenatide and liraglutide are promising drugs for inducing weight loss in patients with AIWG. The adverse effects are acceptable, and the addition of GLP-1 does not increase the severity of psychopathology. However, more research is needed.</w:t>
      </w:r>
    </w:p>
    <w:p w14:paraId="21714C8F" w14:textId="77777777" w:rsidR="00B61B32" w:rsidRDefault="00B61B32" w:rsidP="00B61B32">
      <w:pPr>
        <w:pStyle w:val="Heading1"/>
        <w:shd w:val="clear" w:color="auto" w:fill="FFFFFF"/>
        <w:rPr>
          <w:rFonts w:ascii="Merriweather" w:hAnsi="Merriweather"/>
          <w:color w:val="212121"/>
        </w:rPr>
      </w:pPr>
      <w:bookmarkStart w:id="2" w:name="_Toc185341476"/>
      <w:r>
        <w:rPr>
          <w:rFonts w:ascii="Merriweather" w:hAnsi="Merriweather"/>
          <w:color w:val="212121"/>
        </w:rPr>
        <w:t>Dosing levels of antipsychotics and mood stabilizers in bipolar disorder: A Nationwide cohort study on relapse risk and treatment safety</w:t>
      </w:r>
      <w:bookmarkEnd w:id="2"/>
    </w:p>
    <w:p w14:paraId="2EF2D11F" w14:textId="77777777" w:rsidR="00B61B32" w:rsidRDefault="00B61B32" w:rsidP="00B61B32"/>
    <w:p w14:paraId="2C770D4A" w14:textId="6F7009A5" w:rsidR="00B61B32" w:rsidRPr="00B61B32" w:rsidRDefault="00B61B32" w:rsidP="00B61B32">
      <w:r w:rsidRPr="00B61B32">
        <w:t xml:space="preserve">Lintunen J, Hamina A, </w:t>
      </w:r>
      <w:proofErr w:type="spellStart"/>
      <w:r w:rsidRPr="00B61B32">
        <w:t>Lähteenvuo</w:t>
      </w:r>
      <w:proofErr w:type="spellEnd"/>
      <w:r w:rsidRPr="00B61B32">
        <w:t xml:space="preserve"> M, </w:t>
      </w:r>
      <w:proofErr w:type="spellStart"/>
      <w:r w:rsidRPr="00B61B32">
        <w:t>Paljärvi</w:t>
      </w:r>
      <w:proofErr w:type="spellEnd"/>
      <w:r w:rsidRPr="00B61B32">
        <w:t xml:space="preserve"> T, Tanskanen A, Tiihonen J, Taipale H. Dosing levels of antipsychotics and mood stabilizers in bipolar disorder: A Nationwide cohort study on relapse risk and treatment safety. Acta </w:t>
      </w:r>
      <w:proofErr w:type="spellStart"/>
      <w:r w:rsidRPr="00B61B32">
        <w:t>Psychiatr</w:t>
      </w:r>
      <w:proofErr w:type="spellEnd"/>
      <w:r w:rsidRPr="00B61B32">
        <w:t xml:space="preserve"> Scand. 2025 Jan;151(1):81-91. </w:t>
      </w:r>
      <w:proofErr w:type="spellStart"/>
      <w:r w:rsidRPr="00B61B32">
        <w:t>doi</w:t>
      </w:r>
      <w:proofErr w:type="spellEnd"/>
      <w:r w:rsidRPr="00B61B32">
        <w:t xml:space="preserve">: 10.1111/acps.13762. </w:t>
      </w:r>
      <w:proofErr w:type="spellStart"/>
      <w:r w:rsidRPr="00B61B32">
        <w:t>Epub</w:t>
      </w:r>
      <w:proofErr w:type="spellEnd"/>
      <w:r w:rsidRPr="00B61B32">
        <w:t xml:space="preserve"> 2024 Oct 2. </w:t>
      </w:r>
      <w:hyperlink r:id="rId11" w:history="1">
        <w:r w:rsidRPr="00B61B32">
          <w:rPr>
            <w:rStyle w:val="Hyperlink"/>
          </w:rPr>
          <w:t>PMID: 39355920</w:t>
        </w:r>
      </w:hyperlink>
      <w:r w:rsidRPr="00B61B32">
        <w:t>; PMCID: PMC11608812.</w:t>
      </w:r>
    </w:p>
    <w:p w14:paraId="25716604" w14:textId="77777777" w:rsidR="00B61B32" w:rsidRPr="00B61B32" w:rsidRDefault="00B61B32" w:rsidP="00B61B32">
      <w:r w:rsidRPr="00B61B32">
        <w:rPr>
          <w:b/>
          <w:bCs/>
        </w:rPr>
        <w:t>Background: </w:t>
      </w:r>
      <w:r w:rsidRPr="00B61B32">
        <w:t>Finding effective treatment regimens for bipolar disorder is challenging, as many patients suffer from significant symptoms despite treatment. This study investigated the risk of relapse (psychiatric hospitalization) and treatment safety (non-psychiatric hospitalization) associated with different doses of antipsychotics and mood stabilizers in persons with bipolar disorder.</w:t>
      </w:r>
    </w:p>
    <w:p w14:paraId="0A635EFB" w14:textId="77777777" w:rsidR="00B61B32" w:rsidRPr="00B61B32" w:rsidRDefault="00B61B32" w:rsidP="00B61B32">
      <w:r w:rsidRPr="00B61B32">
        <w:rPr>
          <w:b/>
          <w:bCs/>
        </w:rPr>
        <w:t>Methods: </w:t>
      </w:r>
      <w:r w:rsidRPr="00B61B32">
        <w:t>Individuals aged 15-65 with bipolar disorder were identified from Finnish national health registers in 1996-2018. Studied antipsychotics included olanzapine, risperidone, quetiapine, aripiprazole; mood stabilizers lithium, valproic acid, lamotrigine, and carbamazepine. Medication use was divided into three time-varying dose categories: low, standard, and high. The studied outcomes were risk of psychiatric hospitalization (relapse) and the risk of non-psychiatric hospitalization (treatment safety). Stratified Cox regression in within-individual design was used.</w:t>
      </w:r>
    </w:p>
    <w:p w14:paraId="213F6727" w14:textId="77777777" w:rsidR="00B61B32" w:rsidRPr="00B61B32" w:rsidRDefault="00B61B32" w:rsidP="00B61B32">
      <w:r w:rsidRPr="00B61B32">
        <w:rPr>
          <w:b/>
          <w:bCs/>
        </w:rPr>
        <w:t>Results: </w:t>
      </w:r>
      <w:r w:rsidRPr="00B61B32">
        <w:t>The cohort included 60,045 individuals (mean age 41.7 years, SD 15.8; 56.4% female). Mean follow-up was 8.3 years (SD 5.8). Of antipsychotics, olanzapine and aripiprazole were associated with a decreased risk of relapse in low and standard doses, and risperidone in low dose. The lowest adjusted hazard ratio (</w:t>
      </w:r>
      <w:proofErr w:type="spellStart"/>
      <w:r w:rsidRPr="00B61B32">
        <w:t>aHR</w:t>
      </w:r>
      <w:proofErr w:type="spellEnd"/>
      <w:r w:rsidRPr="00B61B32">
        <w:t>) was observed for standard dose aripiprazole (</w:t>
      </w:r>
      <w:proofErr w:type="spellStart"/>
      <w:r w:rsidRPr="00B61B32">
        <w:t>aHR</w:t>
      </w:r>
      <w:proofErr w:type="spellEnd"/>
      <w:r w:rsidRPr="00B61B32">
        <w:t xml:space="preserve"> 0.68, 95% CI 0.57-0.82). Quetiapine was not associated with a decreased risk of relapse at any dose. Mood stabilizers were associated with a decreased risk of relapse in low and standard doses; lowest </w:t>
      </w:r>
      <w:proofErr w:type="spellStart"/>
      <w:r w:rsidRPr="00B61B32">
        <w:t>aHR</w:t>
      </w:r>
      <w:proofErr w:type="spellEnd"/>
      <w:r w:rsidRPr="00B61B32">
        <w:t xml:space="preserve"> was observed for standard dose lithium (</w:t>
      </w:r>
      <w:proofErr w:type="spellStart"/>
      <w:r w:rsidRPr="00B61B32">
        <w:t>aHR</w:t>
      </w:r>
      <w:proofErr w:type="spellEnd"/>
      <w:r w:rsidRPr="00B61B32">
        <w:t xml:space="preserve"> 0.61, 95% CI 0.56-0.65). Apart from lithium, high doses of antipsychotics and mood stabilizers were associated with an increased risk of non-psychiatric hospitalization. Lithium was associated with a decreased risk of non-psychiatric hospitalization in low (</w:t>
      </w:r>
      <w:proofErr w:type="spellStart"/>
      <w:r w:rsidRPr="00B61B32">
        <w:t>aHR</w:t>
      </w:r>
      <w:proofErr w:type="spellEnd"/>
      <w:r w:rsidRPr="00B61B32">
        <w:t xml:space="preserve"> 0.88, 95% CI 0.84-0.93) and standard doses (</w:t>
      </w:r>
      <w:proofErr w:type="spellStart"/>
      <w:r w:rsidRPr="00B61B32">
        <w:t>aHR</w:t>
      </w:r>
      <w:proofErr w:type="spellEnd"/>
      <w:r w:rsidRPr="00B61B32">
        <w:t xml:space="preserve"> 0.81, 95% CI 0.74-0.88).</w:t>
      </w:r>
    </w:p>
    <w:p w14:paraId="1864FDD7" w14:textId="77777777" w:rsidR="00B61B32" w:rsidRPr="00B61B32" w:rsidRDefault="00B61B32" w:rsidP="00B61B32">
      <w:r w:rsidRPr="00B61B32">
        <w:rPr>
          <w:b/>
          <w:bCs/>
        </w:rPr>
        <w:t>Conclusions: </w:t>
      </w:r>
      <w:r w:rsidRPr="00B61B32">
        <w:t>Standard doses of lithium and aripiprazole were associated with the lowest risk of relapse, and standard dose of lithium with the lowest risk of non-psychiatric hospitalization. Quetiapine was not associated with decreased risk of relapse at any dose.</w:t>
      </w:r>
    </w:p>
    <w:p w14:paraId="5A8A0D59" w14:textId="77777777" w:rsidR="00B61B32" w:rsidRDefault="00B61B32" w:rsidP="00B61B32">
      <w:pPr>
        <w:pStyle w:val="Heading1"/>
        <w:shd w:val="clear" w:color="auto" w:fill="FFFFFF"/>
        <w:rPr>
          <w:rFonts w:ascii="Merriweather" w:hAnsi="Merriweather"/>
          <w:color w:val="212121"/>
        </w:rPr>
      </w:pPr>
      <w:bookmarkStart w:id="3" w:name="_Toc185341477"/>
      <w:r>
        <w:rPr>
          <w:rFonts w:ascii="Merriweather" w:hAnsi="Merriweather"/>
          <w:color w:val="212121"/>
        </w:rPr>
        <w:lastRenderedPageBreak/>
        <w:t>The risk of diabetes and HbA1c deterioration during antipsychotic drug treatment: A Danish two-cohort study among patients with first-episode schizophrenia</w:t>
      </w:r>
      <w:bookmarkEnd w:id="3"/>
    </w:p>
    <w:p w14:paraId="756ADD32" w14:textId="77777777" w:rsidR="00B61B32" w:rsidRDefault="00B61B32" w:rsidP="00B61B32"/>
    <w:p w14:paraId="1B911237" w14:textId="4AA58213" w:rsidR="00B61B32" w:rsidRPr="00B61B32" w:rsidRDefault="00B61B32" w:rsidP="00B61B32">
      <w:r w:rsidRPr="00B61B32">
        <w:t xml:space="preserve">Madsen NM, Sørensen MA, Danielsen AA, Højlund M, Rohde C, Köhler-Forsberg O. The risk of diabetes and HbA1c deterioration during antipsychotic drug treatment: A Danish two-cohort study among patients with first-episode schizophrenia. Acta </w:t>
      </w:r>
      <w:proofErr w:type="spellStart"/>
      <w:r w:rsidRPr="00B61B32">
        <w:t>Psychiatr</w:t>
      </w:r>
      <w:proofErr w:type="spellEnd"/>
      <w:r w:rsidRPr="00B61B32">
        <w:t xml:space="preserve"> Scand. 2025 Jan;151(1):69-80. </w:t>
      </w:r>
      <w:proofErr w:type="spellStart"/>
      <w:r w:rsidRPr="00B61B32">
        <w:t>doi</w:t>
      </w:r>
      <w:proofErr w:type="spellEnd"/>
      <w:r w:rsidRPr="00B61B32">
        <w:t xml:space="preserve">: 10.1111/acps.13760. </w:t>
      </w:r>
      <w:proofErr w:type="spellStart"/>
      <w:r w:rsidRPr="00B61B32">
        <w:t>Epub</w:t>
      </w:r>
      <w:proofErr w:type="spellEnd"/>
      <w:r w:rsidRPr="00B61B32">
        <w:t xml:space="preserve"> 2024 Oct 8. </w:t>
      </w:r>
      <w:hyperlink r:id="rId12" w:history="1">
        <w:r w:rsidRPr="00B61B32">
          <w:rPr>
            <w:rStyle w:val="Hyperlink"/>
          </w:rPr>
          <w:t>PMID: 39379169</w:t>
        </w:r>
      </w:hyperlink>
      <w:r w:rsidRPr="00B61B32">
        <w:t>; PMCID: PMC11608811.</w:t>
      </w:r>
    </w:p>
    <w:p w14:paraId="07F47A44" w14:textId="77777777" w:rsidR="00B61B32" w:rsidRPr="00B61B32" w:rsidRDefault="00B61B32" w:rsidP="00B61B32">
      <w:r w:rsidRPr="00B61B32">
        <w:rPr>
          <w:b/>
          <w:bCs/>
        </w:rPr>
        <w:t>Background: </w:t>
      </w:r>
      <w:r w:rsidRPr="00B61B32">
        <w:t>Antipsychotics increase the risk of developing diabetes, but clinical trials are not generalizable with short follow-up, while observational studies often lack important information, particularly hemoglobin A1c (HbA1c).</w:t>
      </w:r>
    </w:p>
    <w:p w14:paraId="4903428B" w14:textId="77777777" w:rsidR="00B61B32" w:rsidRPr="00B61B32" w:rsidRDefault="00B61B32" w:rsidP="00B61B32">
      <w:r w:rsidRPr="00B61B32">
        <w:rPr>
          <w:b/>
          <w:bCs/>
        </w:rPr>
        <w:t>Methods: </w:t>
      </w:r>
      <w:r w:rsidRPr="00B61B32">
        <w:t>We followed two Danish cohorts with schizophrenia. First, using Danish nationwide registers, we identified all individuals diagnosed with first-episode schizophrenia (FES) between 1999 and 2019 (n = 31,856). Exposure was a redeemed prescription for an antipsychotic, and the outcome was diabetes, defined via hospital-based diagnosis and redeemed prescriptions for glucose-lowering drugs. Adjusted Cox regression calculated hazard rate ratios (HRR). Second, using data from the Central Denmark Region, we identified all individuals diagnosed with FES from October 2016 to September 2022 (n = 2671). Using a within-subject design, we analyzed the change in HbA1c during the 2 years after initiation of specific antipsychotics compared to the 2 years before.</w:t>
      </w:r>
    </w:p>
    <w:p w14:paraId="1D1C9F0C" w14:textId="77777777" w:rsidR="00B61B32" w:rsidRPr="00B61B32" w:rsidRDefault="00B61B32" w:rsidP="00B61B32">
      <w:r w:rsidRPr="00B61B32">
        <w:rPr>
          <w:b/>
          <w:bCs/>
        </w:rPr>
        <w:t>Results: </w:t>
      </w:r>
      <w:r w:rsidRPr="00B61B32">
        <w:t>In the nationwide cohort, 2543 (8.0%) individuals developed diabetes (incidence rate = 9.39 [95% CI = 9.03-9.76] per 1000 person-years). Antipsychotics, compared to periods without, were associated with an increased risk of developing diabetes (HRR = 2.04, 95% CI = 1.75-2.38). We found a dose-response association, particularly for second-generation antipsychotics, and different risk rates for specific antipsychotics. In the Central Denmark Region cohort, a total of 9.2% developed diabetes but mean HbA1c levels remained stable at 37 mmol/mol during the 2 years after initiation of antipsychotic medication.</w:t>
      </w:r>
    </w:p>
    <w:p w14:paraId="6E0E4CF3" w14:textId="77777777" w:rsidR="00B61B32" w:rsidRPr="00B61B32" w:rsidRDefault="00B61B32" w:rsidP="00B61B32">
      <w:r w:rsidRPr="00B61B32">
        <w:rPr>
          <w:b/>
          <w:bCs/>
        </w:rPr>
        <w:t>Conclusion: </w:t>
      </w:r>
      <w:r w:rsidRPr="00B61B32">
        <w:t>This comprehensive real-world two-cohort study emphasizes that diabetes affects almost 10% of patients with FES. Antipsychotics increase this risk, while HbA1c deterioration requires longer treatment. These findings are important for clinicians and young patients with FES.</w:t>
      </w:r>
    </w:p>
    <w:p w14:paraId="58907AA4" w14:textId="77777777" w:rsidR="00B61B32" w:rsidRDefault="00B61B32" w:rsidP="00B61B32">
      <w:pPr>
        <w:pStyle w:val="Heading1"/>
        <w:shd w:val="clear" w:color="auto" w:fill="FFFFFF"/>
        <w:rPr>
          <w:rFonts w:ascii="Merriweather" w:hAnsi="Merriweather"/>
          <w:color w:val="212121"/>
        </w:rPr>
      </w:pPr>
      <w:bookmarkStart w:id="4" w:name="_Toc185341478"/>
      <w:r>
        <w:rPr>
          <w:rFonts w:ascii="Merriweather" w:hAnsi="Merriweather"/>
          <w:color w:val="212121"/>
        </w:rPr>
        <w:t>Comparative efficacy of interpersonal psychotherapy and antidepressant medication for adult depression: a systematic review and individual participant data meta-analysis</w:t>
      </w:r>
      <w:bookmarkEnd w:id="4"/>
    </w:p>
    <w:p w14:paraId="7463E996" w14:textId="77777777" w:rsidR="00B61B32" w:rsidRDefault="00B61B32" w:rsidP="00B61B32"/>
    <w:p w14:paraId="441C8748" w14:textId="17852F27" w:rsidR="00B61B32" w:rsidRDefault="00B61B32" w:rsidP="00B61B32">
      <w:r w:rsidRPr="00B61B32">
        <w:t xml:space="preserve">Cohen ZD, </w:t>
      </w:r>
      <w:proofErr w:type="spellStart"/>
      <w:r w:rsidRPr="00B61B32">
        <w:t>Breunese</w:t>
      </w:r>
      <w:proofErr w:type="spellEnd"/>
      <w:r w:rsidRPr="00B61B32">
        <w:t xml:space="preserve"> J, Markowitz JC, Weitz ES, Hollon SD, Browne DT, Rucci P, Corda C, </w:t>
      </w:r>
      <w:proofErr w:type="spellStart"/>
      <w:r w:rsidRPr="00B61B32">
        <w:t>Menchetti</w:t>
      </w:r>
      <w:proofErr w:type="spellEnd"/>
      <w:r w:rsidRPr="00B61B32">
        <w:t xml:space="preserve"> M, Weissman MM, Bagby RM, Quilty LC, Blom MBJ, Altamura M, Zobel I, Schramm E, Gois C, </w:t>
      </w:r>
      <w:proofErr w:type="spellStart"/>
      <w:r w:rsidRPr="00B61B32">
        <w:t>Twisk</w:t>
      </w:r>
      <w:proofErr w:type="spellEnd"/>
      <w:r w:rsidRPr="00B61B32">
        <w:t xml:space="preserve"> JWR, Wienicke FJ, Cuijpers P, Driessen E. Comparative efficacy of interpersonal psychotherapy and antidepressant medication for adult depression: a systematic review and individual participant data meta-analysis. Psychol Med. 2024 Nov 4;54(14):1-10. </w:t>
      </w:r>
      <w:proofErr w:type="spellStart"/>
      <w:r w:rsidRPr="00B61B32">
        <w:t>doi</w:t>
      </w:r>
      <w:proofErr w:type="spellEnd"/>
      <w:r w:rsidRPr="00B61B32">
        <w:t xml:space="preserve">: 10.1017/S0033291724001788. </w:t>
      </w:r>
      <w:proofErr w:type="spellStart"/>
      <w:r w:rsidRPr="00B61B32">
        <w:t>Epub</w:t>
      </w:r>
      <w:proofErr w:type="spellEnd"/>
      <w:r w:rsidRPr="00B61B32">
        <w:t xml:space="preserve"> ahead of print. </w:t>
      </w:r>
      <w:hyperlink r:id="rId13" w:history="1">
        <w:r w:rsidRPr="00B61B32">
          <w:rPr>
            <w:rStyle w:val="Hyperlink"/>
          </w:rPr>
          <w:t>PMID: 39494789</w:t>
        </w:r>
      </w:hyperlink>
      <w:r w:rsidRPr="00B61B32">
        <w:t>; PMCID: PMC11578913.</w:t>
      </w:r>
    </w:p>
    <w:p w14:paraId="118EC62A" w14:textId="0DC1529D" w:rsidR="00B61B32" w:rsidRDefault="00B61B32" w:rsidP="00B61B32">
      <w:r w:rsidRPr="00B61B32">
        <w:lastRenderedPageBreak/>
        <w:t xml:space="preserve">Interpersonal psychotherapy (IPT) and antidepressant medications are both first-line interventions for adult depression, but their relative efficacy in the long term and on outcome measures other than depressive symptomatology is unknown. Individual participant data (IPD) meta-analyses can provide more precise effect estimates than conventional meta-analyses. This IPD meta-analysis compared the efficacy of IPT and antidepressants on various outcomes at post-treatment and follow-up (PROSPERO: CRD42020219891). A systematic literature search conducted May 1st, </w:t>
      </w:r>
      <w:proofErr w:type="gramStart"/>
      <w:r w:rsidRPr="00B61B32">
        <w:t>2023</w:t>
      </w:r>
      <w:proofErr w:type="gramEnd"/>
      <w:r w:rsidRPr="00B61B32">
        <w:t xml:space="preserve"> identified randomized trials comparing IPT and antidepressants in acute-phase treatment of adults with depression. Anonymized IPD were requested and analyzed using mixed-effects models. The prespecified primary outcome was post-treatment depression symptom severity. Secondary outcomes were all post-treatment and follow-up measures assessed in at least two studies. IPD were obtained from 9 of 15 studies identified (</w:t>
      </w:r>
      <w:r w:rsidRPr="00B61B32">
        <w:rPr>
          <w:i/>
          <w:iCs/>
        </w:rPr>
        <w:t>N</w:t>
      </w:r>
      <w:r w:rsidRPr="00B61B32">
        <w:t> = 1536/1948, 78.9%). No significant comparative treatment effects were found on post-treatment measures of depression (</w:t>
      </w:r>
      <w:r w:rsidRPr="00B61B32">
        <w:rPr>
          <w:i/>
          <w:iCs/>
        </w:rPr>
        <w:t>d</w:t>
      </w:r>
      <w:r w:rsidRPr="00B61B32">
        <w:t> = 0.088, </w:t>
      </w:r>
      <w:r w:rsidRPr="00B61B32">
        <w:rPr>
          <w:i/>
          <w:iCs/>
        </w:rPr>
        <w:t>p</w:t>
      </w:r>
      <w:r w:rsidRPr="00B61B32">
        <w:t> = 0.103, N = 1530) and social functioning (</w:t>
      </w:r>
      <w:r w:rsidRPr="00B61B32">
        <w:rPr>
          <w:i/>
          <w:iCs/>
        </w:rPr>
        <w:t>d</w:t>
      </w:r>
      <w:r w:rsidRPr="00B61B32">
        <w:t> = 0.026, </w:t>
      </w:r>
      <w:r w:rsidRPr="00B61B32">
        <w:rPr>
          <w:i/>
          <w:iCs/>
        </w:rPr>
        <w:t>p</w:t>
      </w:r>
      <w:r w:rsidRPr="00B61B32">
        <w:t> = 0.624, </w:t>
      </w:r>
      <w:r w:rsidRPr="00B61B32">
        <w:rPr>
          <w:i/>
          <w:iCs/>
        </w:rPr>
        <w:t>N</w:t>
      </w:r>
      <w:r w:rsidRPr="00B61B32">
        <w:t> = 1213). In smaller samples, antidepressants performed slightly better than IPT on post-treatment measures of general psychopathology (</w:t>
      </w:r>
      <w:r w:rsidRPr="00B61B32">
        <w:rPr>
          <w:i/>
          <w:iCs/>
        </w:rPr>
        <w:t>d</w:t>
      </w:r>
      <w:r w:rsidRPr="00B61B32">
        <w:t> = 0.276, </w:t>
      </w:r>
      <w:r w:rsidRPr="00B61B32">
        <w:rPr>
          <w:i/>
          <w:iCs/>
        </w:rPr>
        <w:t>p</w:t>
      </w:r>
      <w:r w:rsidRPr="00B61B32">
        <w:t> = 0.023, </w:t>
      </w:r>
      <w:r w:rsidRPr="00B61B32">
        <w:rPr>
          <w:i/>
          <w:iCs/>
        </w:rPr>
        <w:t>N</w:t>
      </w:r>
      <w:r w:rsidRPr="00B61B32">
        <w:t> = 307) and dysfunctional attitudes (</w:t>
      </w:r>
      <w:r w:rsidRPr="00B61B32">
        <w:rPr>
          <w:i/>
          <w:iCs/>
        </w:rPr>
        <w:t>d</w:t>
      </w:r>
      <w:r w:rsidRPr="00B61B32">
        <w:t> = 0.249, </w:t>
      </w:r>
      <w:r w:rsidRPr="00B61B32">
        <w:rPr>
          <w:i/>
          <w:iCs/>
        </w:rPr>
        <w:t>p</w:t>
      </w:r>
      <w:r w:rsidRPr="00B61B32">
        <w:t> = 0.029, </w:t>
      </w:r>
      <w:r w:rsidRPr="00B61B32">
        <w:rPr>
          <w:i/>
          <w:iCs/>
        </w:rPr>
        <w:t>N</w:t>
      </w:r>
      <w:r w:rsidRPr="00B61B32">
        <w:t> = 231), but not on any other secondary outcomes, nor at follow-up. This IPD meta-analysis is the first to examine the acute and longer-term efficacy of IPT </w:t>
      </w:r>
      <w:r w:rsidRPr="00B61B32">
        <w:rPr>
          <w:i/>
          <w:iCs/>
        </w:rPr>
        <w:t>v</w:t>
      </w:r>
      <w:r w:rsidRPr="00B61B32">
        <w:t>. antidepressants on a broad range of outcomes. Depression treatment trials should routinely include multiple outcome measures and follow-up assessments.</w:t>
      </w:r>
    </w:p>
    <w:p w14:paraId="593926D4" w14:textId="77777777" w:rsidR="00B61B32" w:rsidRDefault="00B61B32" w:rsidP="00B61B32">
      <w:pPr>
        <w:pStyle w:val="Heading1"/>
        <w:shd w:val="clear" w:color="auto" w:fill="FFFFFF"/>
        <w:rPr>
          <w:rFonts w:ascii="Merriweather" w:hAnsi="Merriweather"/>
          <w:color w:val="212121"/>
        </w:rPr>
      </w:pPr>
      <w:bookmarkStart w:id="5" w:name="_Toc185341479"/>
      <w:r>
        <w:rPr>
          <w:rFonts w:ascii="Merriweather" w:hAnsi="Merriweather"/>
          <w:color w:val="212121"/>
        </w:rPr>
        <w:t>Intended And Unintended Outcomes After FDA Pediatric Antidepressant Warnings: A Systematic Review</w:t>
      </w:r>
      <w:bookmarkEnd w:id="5"/>
    </w:p>
    <w:p w14:paraId="35ECD19A" w14:textId="6B79B761" w:rsidR="00B61B32" w:rsidRDefault="00B61B32" w:rsidP="00B61B32">
      <w:proofErr w:type="spellStart"/>
      <w:r w:rsidRPr="00B61B32">
        <w:t>Soumerai</w:t>
      </w:r>
      <w:proofErr w:type="spellEnd"/>
      <w:r w:rsidRPr="00B61B32">
        <w:t xml:space="preserve"> SB, Koppel R, Naci H, Madden JM, Fry A, Halbisen A, Angeles J, Koppel J, Rubin R, Lu CY. Intended And Unintended Outcomes After FDA Pediatric Antidepressant Warnings: A Systematic Review. Health Aff (Millwood). 2024 Oct;43(10):1360-1369. </w:t>
      </w:r>
      <w:proofErr w:type="spellStart"/>
      <w:r w:rsidRPr="00B61B32">
        <w:t>doi</w:t>
      </w:r>
      <w:proofErr w:type="spellEnd"/>
      <w:r w:rsidRPr="00B61B32">
        <w:t xml:space="preserve">: 10.1377/hlthaff.2023.00263. </w:t>
      </w:r>
      <w:hyperlink r:id="rId14" w:history="1">
        <w:r w:rsidRPr="00B61B32">
          <w:rPr>
            <w:rStyle w:val="Hyperlink"/>
          </w:rPr>
          <w:t>PMID: 39374452.</w:t>
        </w:r>
      </w:hyperlink>
    </w:p>
    <w:p w14:paraId="50C74451" w14:textId="0A243347" w:rsidR="00B61B32" w:rsidRDefault="00B61B32" w:rsidP="00B61B32">
      <w:r w:rsidRPr="00B61B32">
        <w:t>Since 2003, the Food and Drug Administration (FDA) has warned that antidepressants may be associated with suicidal thoughts and behaviors among youth. An FDA advisory in 2003 and a black-box warning in 2005 focused on children and adolescents younger than age eighteen. The FDA expanded the black-box warning in 2007 to include young adults. Both warnings were intended to increase physician monitoring of suicidal thoughts and behaviors. Our systematic review identified thirty-four studies of depression and suicide-related outcomes after these warnings; eleven of these studies met research design criteria established to reduce biases. The eleven studies examined monitoring for suicidal thoughts and behaviors, physician visits for depression, depression diagnoses, psychotherapy visits, antidepressant treatment and use, and psychotropic drug poisonings (a proxy for suicide attempts) and suicide deaths. We assessed possible spillover to adults not targeted by the warnings. The one study that measured intended physician monitoring of suicidal thoughts and behaviors did not find evidence of an increase. Multiple studies found significant unintended reductions in mental health care after the warnings. After these reductions, there were marked increases in psychotropic drug poisonings and suicide deaths. These findings support reevaluation of risks and benefits of the FDA's black-box antidepressant warnings.</w:t>
      </w:r>
    </w:p>
    <w:p w14:paraId="3C64476B" w14:textId="77777777" w:rsidR="00AC5E56" w:rsidRDefault="00AC5E56" w:rsidP="00AC5E56">
      <w:pPr>
        <w:pStyle w:val="Heading1"/>
        <w:shd w:val="clear" w:color="auto" w:fill="FFFFFF"/>
        <w:rPr>
          <w:rFonts w:ascii="Merriweather" w:hAnsi="Merriweather"/>
          <w:color w:val="212121"/>
        </w:rPr>
      </w:pPr>
      <w:bookmarkStart w:id="6" w:name="_Toc185341480"/>
      <w:r>
        <w:rPr>
          <w:rFonts w:ascii="Merriweather" w:hAnsi="Merriweather"/>
          <w:color w:val="212121"/>
        </w:rPr>
        <w:t>Emergency Department Visits Involving Hallucinogen Use and Risk of Schizophrenia Spectrum Disorder</w:t>
      </w:r>
      <w:bookmarkEnd w:id="6"/>
    </w:p>
    <w:p w14:paraId="4F6DA10A" w14:textId="77777777" w:rsidR="00B61B32" w:rsidRDefault="00B61B32" w:rsidP="00B61B32"/>
    <w:p w14:paraId="4B8B5258" w14:textId="08AF8BC5" w:rsidR="00AC5E56" w:rsidRDefault="00AC5E56" w:rsidP="00B61B32">
      <w:r w:rsidRPr="00AC5E56">
        <w:t xml:space="preserve">Myran DT, Pugliese M, Xiao J, Kaster TS, Husain MI, Anderson KK, Fabiano N, Wong S, Fiedorowicz JG, Webber C, </w:t>
      </w:r>
      <w:proofErr w:type="spellStart"/>
      <w:r w:rsidRPr="00AC5E56">
        <w:t>Tanuseputro</w:t>
      </w:r>
      <w:proofErr w:type="spellEnd"/>
      <w:r w:rsidRPr="00AC5E56">
        <w:t xml:space="preserve"> P, </w:t>
      </w:r>
      <w:proofErr w:type="spellStart"/>
      <w:r w:rsidRPr="00AC5E56">
        <w:t>Solmi</w:t>
      </w:r>
      <w:proofErr w:type="spellEnd"/>
      <w:r w:rsidRPr="00AC5E56">
        <w:t xml:space="preserve"> M. Emergency Department Visits Involving Hallucinogen Use and Risk of Schizophrenia Spectrum Disorder. JAMA Psychiatry. 2024 Nov </w:t>
      </w:r>
      <w:proofErr w:type="gramStart"/>
      <w:r w:rsidRPr="00AC5E56">
        <w:t>13:e</w:t>
      </w:r>
      <w:proofErr w:type="gramEnd"/>
      <w:r w:rsidRPr="00AC5E56">
        <w:t xml:space="preserve">243532. </w:t>
      </w:r>
      <w:proofErr w:type="spellStart"/>
      <w:r w:rsidRPr="00AC5E56">
        <w:t>doi</w:t>
      </w:r>
      <w:proofErr w:type="spellEnd"/>
      <w:r w:rsidRPr="00AC5E56">
        <w:t xml:space="preserve">: 10.1001/jamapsychiatry.2024.3532. </w:t>
      </w:r>
      <w:proofErr w:type="spellStart"/>
      <w:r w:rsidRPr="00AC5E56">
        <w:t>Epub</w:t>
      </w:r>
      <w:proofErr w:type="spellEnd"/>
      <w:r w:rsidRPr="00AC5E56">
        <w:t xml:space="preserve"> ahead of print. </w:t>
      </w:r>
      <w:hyperlink r:id="rId15" w:history="1">
        <w:r w:rsidRPr="00AC5E56">
          <w:rPr>
            <w:rStyle w:val="Hyperlink"/>
          </w:rPr>
          <w:t>PMID: 39535804</w:t>
        </w:r>
      </w:hyperlink>
      <w:r w:rsidRPr="00AC5E56">
        <w:t>; PMCID: PMC11561722.</w:t>
      </w:r>
    </w:p>
    <w:p w14:paraId="5E4CFF5E" w14:textId="77777777" w:rsidR="00AC5E56" w:rsidRPr="00AC5E56" w:rsidRDefault="00AC5E56" w:rsidP="00AC5E56">
      <w:r w:rsidRPr="00AC5E56">
        <w:rPr>
          <w:b/>
          <w:bCs/>
        </w:rPr>
        <w:t>Importance: </w:t>
      </w:r>
      <w:r w:rsidRPr="00AC5E56">
        <w:t>Interest in and use of hallucinogens has been increasing rapidly. While a frequently raised concern is that hallucinogens may be associated with an increased risk of psychosis, there are limited data on this association.</w:t>
      </w:r>
    </w:p>
    <w:p w14:paraId="4AEDA9B1" w14:textId="77777777" w:rsidR="00AC5E56" w:rsidRPr="00AC5E56" w:rsidRDefault="00AC5E56" w:rsidP="00AC5E56">
      <w:r w:rsidRPr="00AC5E56">
        <w:rPr>
          <w:b/>
          <w:bCs/>
        </w:rPr>
        <w:t>Objectives: </w:t>
      </w:r>
      <w:r w:rsidRPr="00AC5E56">
        <w:t>To examine whether individuals with an emergency department (ED) visit involving hallucinogen use have an increased risk of developing a schizophrenia spectrum disorder (SSD).</w:t>
      </w:r>
    </w:p>
    <w:p w14:paraId="1A93BE66" w14:textId="77777777" w:rsidR="00AC5E56" w:rsidRPr="00AC5E56" w:rsidRDefault="00AC5E56" w:rsidP="00AC5E56">
      <w:r w:rsidRPr="00AC5E56">
        <w:rPr>
          <w:b/>
          <w:bCs/>
        </w:rPr>
        <w:t>Design, settings, and participants: </w:t>
      </w:r>
      <w:r w:rsidRPr="00AC5E56">
        <w:t>This population-based, retrospective cohort study (January 2008 to December 2021) included all individuals aged 14 to 65 years in Ontario, Canada, with no history of psychosis (SSD or substance induced). Data were analyzed from May to August 2024.</w:t>
      </w:r>
    </w:p>
    <w:p w14:paraId="30FC1364" w14:textId="77777777" w:rsidR="00AC5E56" w:rsidRPr="00AC5E56" w:rsidRDefault="00AC5E56" w:rsidP="00AC5E56">
      <w:r w:rsidRPr="00AC5E56">
        <w:rPr>
          <w:b/>
          <w:bCs/>
        </w:rPr>
        <w:t>Exposure: </w:t>
      </w:r>
      <w:r w:rsidRPr="00AC5E56">
        <w:t>An incident ED visit involving hallucinogen use.</w:t>
      </w:r>
    </w:p>
    <w:p w14:paraId="5180AFFB" w14:textId="77777777" w:rsidR="00AC5E56" w:rsidRPr="00AC5E56" w:rsidRDefault="00AC5E56" w:rsidP="00AC5E56">
      <w:r w:rsidRPr="00AC5E56">
        <w:rPr>
          <w:b/>
          <w:bCs/>
        </w:rPr>
        <w:t>Main outcomes and measures: </w:t>
      </w:r>
      <w:r w:rsidRPr="00AC5E56">
        <w:t>Diagnosis of SSD using a medical record-validated algorithm. Associations between ED visits involving hallucinogens and SSD were estimated using cause-specific adjusted hazard models. Individuals with an incident ED visit involving hallucinogens were compared with members of the general population (primary analysis) or individuals with ED visits involving alcohol or cannabis (secondary analysis).</w:t>
      </w:r>
    </w:p>
    <w:p w14:paraId="50EC030E" w14:textId="77777777" w:rsidR="00AC5E56" w:rsidRPr="00AC5E56" w:rsidRDefault="00AC5E56" w:rsidP="00AC5E56">
      <w:r w:rsidRPr="00AC5E56">
        <w:rPr>
          <w:b/>
          <w:bCs/>
        </w:rPr>
        <w:t>Results: </w:t>
      </w:r>
      <w:r w:rsidRPr="00AC5E56">
        <w:t>The study included 9 244 292 individuals (mean [SD] age, 40.4 [14.7] years; 50.2% female) without a history of psychosis, with a median follow-up of 5.1 years (IQR, 2.3-8.6 years); 5217 (0.1%) had an incident ED visit involving hallucinogen use. Annual rates of incident ED visits involving hallucinogens were stable between 2008 and 2012 and then increased by 86.4% between 2013 and 2021 (3.4 vs 6.4 per 100 000 individuals). Individuals with ED visits involving hallucinogens had a greater risk of being diagnosed with an SSD within 3 years compared with the general population (age- and sex-adjusted hazard ratio [HR], 21.32 [95% CI, 18.58-24.47]; absolute proportion with SSD at 3 years, 208 of 5217 with hallucinogen use [3.99%] vs 13 639 of 9 239 075 in the general population [0.15%]). After adjustment for comorbid substance use and mental health conditions, individuals with hallucinogen ED visits had a greater risk of SSD compared with the general population (HR, 3.53; 95% CI, 3.05-4.09). Emergency department visits involving hallucinogens were associated with an increased risk of SSD within 3 years compared with ED visits involving alcohol (HR, 4.66; 95% CI, 3.82-5.68) and cannabis (HR, 1.47; 95% CI, 1.21-1.80) in the fully adjusted model.</w:t>
      </w:r>
    </w:p>
    <w:p w14:paraId="093E05E2" w14:textId="77777777" w:rsidR="00AC5E56" w:rsidRPr="00AC5E56" w:rsidRDefault="00AC5E56" w:rsidP="00AC5E56">
      <w:r w:rsidRPr="00AC5E56">
        <w:rPr>
          <w:b/>
          <w:bCs/>
        </w:rPr>
        <w:t>Conclusions and relevance: </w:t>
      </w:r>
      <w:r w:rsidRPr="00AC5E56">
        <w:t>In this cohort study, individuals with an ED visit involving hallucinogen use had a greater risk of developing an SSD compared with both the general population and with individuals with ED visits for other types of substances. These findings have important clinical and policy implications given the increasing use of hallucinogens and associated ED visits.</w:t>
      </w:r>
    </w:p>
    <w:p w14:paraId="36881636" w14:textId="77777777" w:rsidR="00AC5E56" w:rsidRDefault="00AC5E56" w:rsidP="00AC5E56">
      <w:pPr>
        <w:pStyle w:val="Heading1"/>
        <w:shd w:val="clear" w:color="auto" w:fill="FFFFFF"/>
        <w:rPr>
          <w:rFonts w:ascii="Merriweather" w:hAnsi="Merriweather"/>
          <w:color w:val="212121"/>
        </w:rPr>
      </w:pPr>
      <w:bookmarkStart w:id="7" w:name="_Toc185341481"/>
      <w:r>
        <w:rPr>
          <w:rFonts w:ascii="Merriweather" w:hAnsi="Merriweather"/>
          <w:color w:val="212121"/>
        </w:rPr>
        <w:t xml:space="preserve">The D*Phase-study: Comparing short-term psychodynamic psychotherapy and cognitive behavioural therapy for major </w:t>
      </w:r>
      <w:r>
        <w:rPr>
          <w:rFonts w:ascii="Merriweather" w:hAnsi="Merriweather"/>
          <w:color w:val="212121"/>
        </w:rPr>
        <w:lastRenderedPageBreak/>
        <w:t>depressive disorder in a randomised controlled non-inferiority trial</w:t>
      </w:r>
      <w:bookmarkEnd w:id="7"/>
    </w:p>
    <w:p w14:paraId="2B7461C1" w14:textId="77777777" w:rsidR="00AC5E56" w:rsidRDefault="00AC5E56" w:rsidP="00AC5E56"/>
    <w:p w14:paraId="496F5186" w14:textId="1D66F3BF" w:rsidR="00AC5E56" w:rsidRPr="00AC5E56" w:rsidRDefault="00AC5E56" w:rsidP="00AC5E56">
      <w:proofErr w:type="spellStart"/>
      <w:r w:rsidRPr="00AC5E56">
        <w:t>Miggiels</w:t>
      </w:r>
      <w:proofErr w:type="spellEnd"/>
      <w:r w:rsidRPr="00AC5E56">
        <w:t xml:space="preserve"> M, Ten Klooster P, Beekman A, Bremer S, Dekker J, Janssen C, van Dijk MK. The D*Phase-study: Comparing short-term psychodynamic psychotherapy and cognitive </w:t>
      </w:r>
      <w:proofErr w:type="spellStart"/>
      <w:r w:rsidRPr="00AC5E56">
        <w:t>behavioural</w:t>
      </w:r>
      <w:proofErr w:type="spellEnd"/>
      <w:r w:rsidRPr="00AC5E56">
        <w:t xml:space="preserve"> therapy for major depressive disorder in a </w:t>
      </w:r>
      <w:proofErr w:type="spellStart"/>
      <w:r w:rsidRPr="00AC5E56">
        <w:t>randomised</w:t>
      </w:r>
      <w:proofErr w:type="spellEnd"/>
      <w:r w:rsidRPr="00AC5E56">
        <w:t xml:space="preserve"> controlled non-inferiority trial. J Affect </w:t>
      </w:r>
      <w:proofErr w:type="spellStart"/>
      <w:r w:rsidRPr="00AC5E56">
        <w:t>Disord</w:t>
      </w:r>
      <w:proofErr w:type="spellEnd"/>
      <w:r w:rsidRPr="00AC5E56">
        <w:t xml:space="preserve">. 2024 Oct </w:t>
      </w:r>
      <w:proofErr w:type="gramStart"/>
      <w:r w:rsidRPr="00AC5E56">
        <w:t>30;371:344</w:t>
      </w:r>
      <w:proofErr w:type="gramEnd"/>
      <w:r w:rsidRPr="00AC5E56">
        <w:t xml:space="preserve">-351. </w:t>
      </w:r>
      <w:proofErr w:type="spellStart"/>
      <w:r w:rsidRPr="00AC5E56">
        <w:t>doi</w:t>
      </w:r>
      <w:proofErr w:type="spellEnd"/>
      <w:r w:rsidRPr="00AC5E56">
        <w:t xml:space="preserve">: 10.1016/j.jad.2024.10.122. </w:t>
      </w:r>
      <w:proofErr w:type="spellStart"/>
      <w:r w:rsidRPr="00AC5E56">
        <w:t>Epub</w:t>
      </w:r>
      <w:proofErr w:type="spellEnd"/>
      <w:r w:rsidRPr="00AC5E56">
        <w:t xml:space="preserve"> ahead of print. </w:t>
      </w:r>
      <w:hyperlink r:id="rId16" w:history="1">
        <w:r w:rsidRPr="00AC5E56">
          <w:rPr>
            <w:rStyle w:val="Hyperlink"/>
          </w:rPr>
          <w:t>PMID: 39486646</w:t>
        </w:r>
      </w:hyperlink>
      <w:r w:rsidRPr="00AC5E56">
        <w:t>.</w:t>
      </w:r>
    </w:p>
    <w:p w14:paraId="252C8FA3" w14:textId="77777777" w:rsidR="00AC5E56" w:rsidRPr="00AC5E56" w:rsidRDefault="00AC5E56" w:rsidP="00AC5E56">
      <w:r w:rsidRPr="00AC5E56">
        <w:rPr>
          <w:b/>
          <w:bCs/>
        </w:rPr>
        <w:t>Background: </w:t>
      </w:r>
      <w:r w:rsidRPr="00AC5E56">
        <w:t xml:space="preserve">Given both the large volume and manifold preferences of patients with depression, the availability of various effective treatments is important. Psychodynamic psychotherapy (PDT) has received less research in comparison to cognitive </w:t>
      </w:r>
      <w:proofErr w:type="spellStart"/>
      <w:r w:rsidRPr="00AC5E56">
        <w:t>behavioural</w:t>
      </w:r>
      <w:proofErr w:type="spellEnd"/>
      <w:r w:rsidRPr="00AC5E56">
        <w:t xml:space="preserve"> therapy (CBT) for major depressive disorder (MDD). This study aimed to establish whether short-term psychodynamic supportive psychotherapy (SPSP) is non-inferior to CBT in the treatment of MDD.</w:t>
      </w:r>
    </w:p>
    <w:p w14:paraId="398F2154" w14:textId="77777777" w:rsidR="00AC5E56" w:rsidRPr="00AC5E56" w:rsidRDefault="00AC5E56" w:rsidP="00AC5E56">
      <w:r w:rsidRPr="00AC5E56">
        <w:rPr>
          <w:b/>
          <w:bCs/>
        </w:rPr>
        <w:t>Methods: </w:t>
      </w:r>
      <w:r w:rsidRPr="00AC5E56">
        <w:t xml:space="preserve">A non-inferiority trial was conducted in a Dutch mental health setting, with 290 patients </w:t>
      </w:r>
      <w:proofErr w:type="spellStart"/>
      <w:r w:rsidRPr="00AC5E56">
        <w:t>randomised</w:t>
      </w:r>
      <w:proofErr w:type="spellEnd"/>
      <w:r w:rsidRPr="00AC5E56">
        <w:t xml:space="preserve"> to receive 16 sessions of either CBT or SPSP, over eight weeks. Primary outcome was depressive symptom severity assessed using the self-rated Inventory of Depressive Symptomatology (IDS-SR). The non-inferiority margin was prespecified as a - 5 post-treatment difference on the IDS-SR. Secondary outcome measures were functional impairment caused by symptoms assessed using the Sheehan disability scale (SDS), and wellbeing measured by the Mental Health Continuum-Short Form (MHC-SF).</w:t>
      </w:r>
    </w:p>
    <w:p w14:paraId="42FE676F" w14:textId="77777777" w:rsidR="00AC5E56" w:rsidRPr="00AC5E56" w:rsidRDefault="00AC5E56" w:rsidP="00AC5E56">
      <w:r w:rsidRPr="00AC5E56">
        <w:rPr>
          <w:b/>
          <w:bCs/>
        </w:rPr>
        <w:t>Results: </w:t>
      </w:r>
      <w:r w:rsidRPr="00AC5E56">
        <w:t>Both intention-to-treat (baseline-adjusted mean difference 1.62, 95 % CI -1.82 to 5.05) and per-protocol analyses (mean difference 2.54; 95 % CI -0.63 to 5.72) showed SPSP to be non-inferior to CBT in reducing depressive symptoms. SPSP showed slightly but significantly higher remission rates and wellbeing scores.</w:t>
      </w:r>
    </w:p>
    <w:p w14:paraId="34D2F7F3" w14:textId="77777777" w:rsidR="00AC5E56" w:rsidRPr="00AC5E56" w:rsidRDefault="00AC5E56" w:rsidP="00AC5E56">
      <w:r w:rsidRPr="00AC5E56">
        <w:rPr>
          <w:b/>
          <w:bCs/>
        </w:rPr>
        <w:t>Limitations: </w:t>
      </w:r>
      <w:r w:rsidRPr="00AC5E56">
        <w:t>Patients opting for other therapies or medication did not take part in the trial. Follow-up measures or clinician-rated questionnaires were not included.</w:t>
      </w:r>
    </w:p>
    <w:p w14:paraId="7BA396B0" w14:textId="109E818F" w:rsidR="00AC5E56" w:rsidRPr="00AC5E56" w:rsidRDefault="00AC5E56" w:rsidP="00AC5E56">
      <w:r w:rsidRPr="00AC5E56">
        <w:rPr>
          <w:b/>
          <w:bCs/>
        </w:rPr>
        <w:t>Conclusions: </w:t>
      </w:r>
      <w:r w:rsidRPr="00AC5E56">
        <w:t>The findings support SPSP as a viable treatment option for MDD, expanding the available choices for patients and broadening treatment options.</w:t>
      </w:r>
    </w:p>
    <w:p w14:paraId="3EC2AF6C" w14:textId="4DD8C8DC" w:rsidR="00AC5E56" w:rsidRDefault="00AC5E56" w:rsidP="00AC5E56">
      <w:pPr>
        <w:pStyle w:val="Heading1"/>
        <w:shd w:val="clear" w:color="auto" w:fill="FFFFFF"/>
        <w:rPr>
          <w:rFonts w:ascii="Merriweather" w:hAnsi="Merriweather"/>
          <w:color w:val="212121"/>
        </w:rPr>
      </w:pPr>
      <w:bookmarkStart w:id="8" w:name="_Toc185341482"/>
      <w:r>
        <w:rPr>
          <w:rFonts w:ascii="Merriweather" w:hAnsi="Merriweather"/>
          <w:color w:val="212121"/>
        </w:rPr>
        <w:t>Depression and the risk of fibromyalgia syndrome: a two-sample Mendelian randomization study</w:t>
      </w:r>
      <w:bookmarkEnd w:id="8"/>
    </w:p>
    <w:p w14:paraId="4DD09E2C" w14:textId="02428398" w:rsidR="00AC5E56" w:rsidRDefault="00AC5E56" w:rsidP="00AC5E56">
      <w:pPr>
        <w:shd w:val="clear" w:color="auto" w:fill="FFFFFF"/>
        <w:rPr>
          <w:rFonts w:ascii="Segoe UI" w:hAnsi="Segoe UI" w:cs="Segoe UI"/>
          <w:color w:val="5B616B"/>
        </w:rPr>
      </w:pPr>
      <w:r w:rsidRPr="00AC5E56">
        <w:rPr>
          <w:rFonts w:ascii="Segoe UI" w:hAnsi="Segoe UI" w:cs="Segoe UI"/>
          <w:color w:val="5B616B"/>
        </w:rPr>
        <w:t xml:space="preserve">Ma X, Sun J, Geng R, Zhao Y, Xu W, Jiang Y, Zhao L, Li Y. Depression and the risk of fibromyalgia syndrome: a two-sample Mendelian randomization study. Front Psychiatry. 2024 Nov </w:t>
      </w:r>
      <w:proofErr w:type="gramStart"/>
      <w:r w:rsidRPr="00AC5E56">
        <w:rPr>
          <w:rFonts w:ascii="Segoe UI" w:hAnsi="Segoe UI" w:cs="Segoe UI"/>
          <w:color w:val="5B616B"/>
        </w:rPr>
        <w:t>12;15:1282172</w:t>
      </w:r>
      <w:proofErr w:type="gramEnd"/>
      <w:r w:rsidRPr="00AC5E56">
        <w:rPr>
          <w:rFonts w:ascii="Segoe UI" w:hAnsi="Segoe UI" w:cs="Segoe UI"/>
          <w:color w:val="5B616B"/>
        </w:rPr>
        <w:t xml:space="preserve">. </w:t>
      </w:r>
      <w:proofErr w:type="spellStart"/>
      <w:r w:rsidRPr="00AC5E56">
        <w:rPr>
          <w:rFonts w:ascii="Segoe UI" w:hAnsi="Segoe UI" w:cs="Segoe UI"/>
          <w:color w:val="5B616B"/>
        </w:rPr>
        <w:t>doi</w:t>
      </w:r>
      <w:proofErr w:type="spellEnd"/>
      <w:r w:rsidRPr="00AC5E56">
        <w:rPr>
          <w:rFonts w:ascii="Segoe UI" w:hAnsi="Segoe UI" w:cs="Segoe UI"/>
          <w:color w:val="5B616B"/>
        </w:rPr>
        <w:t xml:space="preserve">: 10.3389/fpsyt.2024.1282172. </w:t>
      </w:r>
      <w:hyperlink r:id="rId17" w:history="1">
        <w:r w:rsidRPr="00AC5E56">
          <w:rPr>
            <w:rStyle w:val="Hyperlink"/>
            <w:rFonts w:ascii="Segoe UI" w:hAnsi="Segoe UI" w:cs="Segoe UI"/>
          </w:rPr>
          <w:t>PMID: 39600790</w:t>
        </w:r>
      </w:hyperlink>
      <w:r w:rsidRPr="00AC5E56">
        <w:rPr>
          <w:rFonts w:ascii="Segoe UI" w:hAnsi="Segoe UI" w:cs="Segoe UI"/>
          <w:color w:val="5B616B"/>
        </w:rPr>
        <w:t>; PMCID: PMC11588703.</w:t>
      </w:r>
    </w:p>
    <w:p w14:paraId="2C6296A1" w14:textId="77777777" w:rsidR="00AC5E56" w:rsidRPr="00AC5E56" w:rsidRDefault="00AC5E56" w:rsidP="00AC5E56">
      <w:r w:rsidRPr="00AC5E56">
        <w:rPr>
          <w:b/>
          <w:bCs/>
        </w:rPr>
        <w:t>Background: </w:t>
      </w:r>
      <w:r w:rsidRPr="00AC5E56">
        <w:t>Fibromyalgia (FM) is a common illness with a wide range of symptoms, mainly manifested by unexplained chronic systemic musculoskeletal pain, sleep disorders and fatigue, sometimes accompanied by cognitive impairment, psychiatric symptoms and autonomic dysfunction. Previous studies have indicated a correlation between depression and the risk of FM; however, it remains uncertain whether this association reflects a causal relationship.</w:t>
      </w:r>
    </w:p>
    <w:p w14:paraId="364FB9FA" w14:textId="790D91FF" w:rsidR="00AC5E56" w:rsidRPr="00AC5E56" w:rsidRDefault="00AC5E56" w:rsidP="00AC5E56">
      <w:r w:rsidRPr="00AC5E56">
        <w:rPr>
          <w:b/>
          <w:bCs/>
        </w:rPr>
        <w:lastRenderedPageBreak/>
        <w:t>Methods: </w:t>
      </w:r>
      <w:r w:rsidRPr="00AC5E56">
        <w:t xml:space="preserve">We evaluated the etiological association between the genetically predicted depression and the risk of developing FM by conducting a two-sample Mendelian Randomization (MR) study. The data on single nucleotide polymorphisms (SNPs) related to depression were obtained from the UK Biobank (UKB) and the Psychiatric Genomics Consortium (PGC) of White British European ancestry, and the data for FM were from the 5th release of the </w:t>
      </w:r>
      <w:proofErr w:type="spellStart"/>
      <w:r w:rsidRPr="00AC5E56">
        <w:t>FinnGen</w:t>
      </w:r>
      <w:proofErr w:type="spellEnd"/>
      <w:r w:rsidRPr="00AC5E56">
        <w:t xml:space="preserve"> study. We adopted the Inverse Variance Weighted (IVW) approach as the principal standard. </w:t>
      </w:r>
      <w:proofErr w:type="gramStart"/>
      <w:r w:rsidRPr="00AC5E56">
        <w:t>In order to</w:t>
      </w:r>
      <w:proofErr w:type="gramEnd"/>
      <w:r w:rsidRPr="00AC5E56">
        <w:t xml:space="preserve"> detect the existence of horizontal pleiotropy and heterogeneity, we adopted the MR-Egger approach as the sensitivity analysis</w:t>
      </w:r>
    </w:p>
    <w:p w14:paraId="7D128AFE" w14:textId="77777777" w:rsidR="00AC5E56" w:rsidRPr="00AC5E56" w:rsidRDefault="00AC5E56" w:rsidP="00AC5E56">
      <w:r w:rsidRPr="00AC5E56">
        <w:rPr>
          <w:b/>
          <w:bCs/>
        </w:rPr>
        <w:t>Results: </w:t>
      </w:r>
      <w:r w:rsidRPr="00AC5E56">
        <w:t>In our MR analysis, 42 depression-related variants were identified as valid instrumental variables (IVs). The IVW approach's results manifest that there is no etiologic causality between genetically predicted depression and the risk of FM (odds ratio [OR]: 1.673, 95% confidence interval [CI]: 0.852-3.287, </w:t>
      </w:r>
      <w:r w:rsidRPr="00AC5E56">
        <w:rPr>
          <w:i/>
          <w:iCs/>
        </w:rPr>
        <w:t>P</w:t>
      </w:r>
      <w:r w:rsidRPr="00AC5E56">
        <w:t> = 0.135). The study did not find any significant heterogeneities or horizontal pleiotropies (</w:t>
      </w:r>
      <w:r w:rsidRPr="00AC5E56">
        <w:rPr>
          <w:i/>
          <w:iCs/>
        </w:rPr>
        <w:t>P</w:t>
      </w:r>
      <w:r w:rsidRPr="00AC5E56">
        <w:t> &gt; 0.05).</w:t>
      </w:r>
    </w:p>
    <w:p w14:paraId="4B6B2104" w14:textId="77777777" w:rsidR="00AC5E56" w:rsidRPr="00AC5E56" w:rsidRDefault="00AC5E56" w:rsidP="00AC5E56">
      <w:r w:rsidRPr="00AC5E56">
        <w:rPr>
          <w:b/>
          <w:bCs/>
        </w:rPr>
        <w:t>Conclusions: </w:t>
      </w:r>
      <w:r w:rsidRPr="00AC5E56">
        <w:t>Our results suggest that there is no significant genetic evidence linking depression to an increased risk of FM. However, further research is necessary to investigate the potential relationship and underlying mechanisms between depression and the risk of FM.</w:t>
      </w:r>
    </w:p>
    <w:p w14:paraId="67DE8246" w14:textId="7E1333F3" w:rsidR="00AC5E56" w:rsidRPr="00AC5E56" w:rsidRDefault="00AC5E56" w:rsidP="00AC5E56">
      <w:pPr>
        <w:pStyle w:val="Heading1"/>
        <w:shd w:val="clear" w:color="auto" w:fill="FFFFFF"/>
        <w:rPr>
          <w:rFonts w:ascii="Merriweather" w:hAnsi="Merriweather"/>
          <w:color w:val="212121"/>
        </w:rPr>
      </w:pPr>
      <w:bookmarkStart w:id="9" w:name="_Toc185341483"/>
      <w:r>
        <w:rPr>
          <w:rFonts w:ascii="Merriweather" w:hAnsi="Merriweather"/>
          <w:color w:val="212121"/>
        </w:rPr>
        <w:t>Prediction of borderline personality disorder based on childhood trauma with the mediating role of experiential avoidance</w:t>
      </w:r>
      <w:bookmarkEnd w:id="9"/>
    </w:p>
    <w:p w14:paraId="6F32596C" w14:textId="17CA75CD" w:rsidR="00AC5E56" w:rsidRPr="00AC5E56" w:rsidRDefault="00AC5E56" w:rsidP="00AC5E56">
      <w:r w:rsidRPr="00AC5E56">
        <w:t xml:space="preserve">Jiang B. Prediction of borderline personality disorder based on childhood trauma with the mediating role of experiential avoidance. Front Psychiatry. 2024 Nov </w:t>
      </w:r>
      <w:proofErr w:type="gramStart"/>
      <w:r w:rsidRPr="00AC5E56">
        <w:t>6;15:1382012</w:t>
      </w:r>
      <w:proofErr w:type="gramEnd"/>
      <w:r w:rsidRPr="00AC5E56">
        <w:t xml:space="preserve">. </w:t>
      </w:r>
      <w:proofErr w:type="spellStart"/>
      <w:r w:rsidRPr="00AC5E56">
        <w:t>doi</w:t>
      </w:r>
      <w:proofErr w:type="spellEnd"/>
      <w:r w:rsidRPr="00AC5E56">
        <w:t xml:space="preserve">: 10.3389/fpsyt.2024.1382012. </w:t>
      </w:r>
      <w:hyperlink r:id="rId18" w:history="1">
        <w:r w:rsidRPr="00AC5E56">
          <w:rPr>
            <w:rStyle w:val="Hyperlink"/>
          </w:rPr>
          <w:t>PMID: 39568759</w:t>
        </w:r>
      </w:hyperlink>
      <w:r w:rsidRPr="00AC5E56">
        <w:t>; PMCID: PMC11576193.</w:t>
      </w:r>
    </w:p>
    <w:p w14:paraId="09A5D138" w14:textId="77777777" w:rsidR="00AC5E56" w:rsidRPr="00AC5E56" w:rsidRDefault="00AC5E56" w:rsidP="00AC5E56">
      <w:r w:rsidRPr="00AC5E56">
        <w:rPr>
          <w:b/>
          <w:bCs/>
        </w:rPr>
        <w:t>Introduction: </w:t>
      </w:r>
      <w:r w:rsidRPr="00AC5E56">
        <w:t xml:space="preserve">Traits of borderline personality disorder are important for the determination of the prognosis of mental illnesses and in evaluating risks of negativity as well as impulsivity. </w:t>
      </w:r>
      <w:proofErr w:type="gramStart"/>
      <w:r w:rsidRPr="00AC5E56">
        <w:t>But,</w:t>
      </w:r>
      <w:proofErr w:type="gramEnd"/>
      <w:r w:rsidRPr="00AC5E56">
        <w:t xml:space="preserve"> there is a lack of information about the distribution characteristics of borderline personality disorder traits and symptoms within clinical groups. The goal of the current study was to predict borderline personality disorder based on childhood trauma, using experiential avoidance as a mediator.</w:t>
      </w:r>
    </w:p>
    <w:p w14:paraId="3957F922" w14:textId="77777777" w:rsidR="00AC5E56" w:rsidRPr="00AC5E56" w:rsidRDefault="00AC5E56" w:rsidP="00AC5E56">
      <w:r w:rsidRPr="00AC5E56">
        <w:rPr>
          <w:b/>
          <w:bCs/>
        </w:rPr>
        <w:t>Methods: </w:t>
      </w:r>
      <w:r w:rsidRPr="00AC5E56">
        <w:t>All male patients hospitalized in local psychiatric health centers with a diagnosis of borderline personality disorder comprised the statistical population of the current study. The number of 60 patients were selected by the purposeful sampling method. The questionnaire included the Childhood Trauma Questionnaire (CTQ), the Experiential Avoidance Questionnaire (AAQ-II), and the Borderline Personality Disorder Symptoms (BSL-23).</w:t>
      </w:r>
    </w:p>
    <w:p w14:paraId="7EFD5222" w14:textId="77777777" w:rsidR="00AC5E56" w:rsidRPr="00AC5E56" w:rsidRDefault="00AC5E56" w:rsidP="00AC5E56">
      <w:r w:rsidRPr="00AC5E56">
        <w:rPr>
          <w:b/>
          <w:bCs/>
        </w:rPr>
        <w:t>Results and discussion: </w:t>
      </w:r>
      <w:r w:rsidRPr="00AC5E56">
        <w:t>The results demonstrated that there is a considerable and positive relationship between childhood trauma and experiential avoidance (r = 0.711, p&lt; 0.01). In the mediating model, childhood trauma had significant direct predictive effects on borderline personality disorder (β = 0.546, p&lt; 0.01). Also, between childhood trauma and BPD, experienced avoidance acts as a moderating factor. (β = 0.304, p&lt; 0.01).</w:t>
      </w:r>
    </w:p>
    <w:p w14:paraId="6025BA75" w14:textId="77777777" w:rsidR="00AC5E56" w:rsidRDefault="00AC5E56" w:rsidP="00B61B32"/>
    <w:p w14:paraId="47722AE8" w14:textId="77777777" w:rsidR="00B61B32" w:rsidRPr="00B61B32" w:rsidRDefault="00B61B32" w:rsidP="00B61B32"/>
    <w:p w14:paraId="06EBA9C4" w14:textId="1938E317" w:rsidR="006972A3" w:rsidRDefault="006972A3" w:rsidP="006972A3">
      <w:pPr>
        <w:pStyle w:val="Heading2"/>
      </w:pPr>
      <w:bookmarkStart w:id="10" w:name="_Toc185341484"/>
      <w:r>
        <w:lastRenderedPageBreak/>
        <w:t>Interesting Viewpoints</w:t>
      </w:r>
      <w:bookmarkEnd w:id="10"/>
    </w:p>
    <w:p w14:paraId="31C1AEA0" w14:textId="77777777" w:rsidR="00AC5E56" w:rsidRDefault="00AC5E56" w:rsidP="00AC5E56"/>
    <w:p w14:paraId="53501BEF" w14:textId="77777777" w:rsidR="00AC5E56" w:rsidRDefault="00AC5E56" w:rsidP="00AC5E56">
      <w:pPr>
        <w:pStyle w:val="Heading1"/>
        <w:shd w:val="clear" w:color="auto" w:fill="FFFFFF"/>
        <w:rPr>
          <w:rFonts w:ascii="Merriweather" w:hAnsi="Merriweather"/>
          <w:color w:val="212121"/>
        </w:rPr>
      </w:pPr>
      <w:bookmarkStart w:id="11" w:name="_Toc185341485"/>
      <w:r>
        <w:rPr>
          <w:rFonts w:ascii="Merriweather" w:hAnsi="Merriweather"/>
          <w:color w:val="212121"/>
        </w:rPr>
        <w:t>How Should We Expand Access to Psychedelics While Maintaining an Environment of Peace and Safety?</w:t>
      </w:r>
      <w:bookmarkEnd w:id="11"/>
    </w:p>
    <w:p w14:paraId="42D561A6" w14:textId="4F355A25" w:rsidR="00AC5E56" w:rsidRDefault="00AC5E56" w:rsidP="00AC5E56">
      <w:r w:rsidRPr="00AC5E56">
        <w:t>Verne Z, Zabinski J. How Should We Expand Access to Psychedelics While Maintaining an Environment of Peace and Safety? AMA J Ethics. 2024 Nov 1;26(11</w:t>
      </w:r>
      <w:proofErr w:type="gramStart"/>
      <w:r w:rsidRPr="00AC5E56">
        <w:t>):E</w:t>
      </w:r>
      <w:proofErr w:type="gramEnd"/>
      <w:r w:rsidRPr="00AC5E56">
        <w:t xml:space="preserve">868-874. </w:t>
      </w:r>
      <w:proofErr w:type="spellStart"/>
      <w:r w:rsidRPr="00AC5E56">
        <w:t>doi</w:t>
      </w:r>
      <w:proofErr w:type="spellEnd"/>
      <w:r w:rsidRPr="00AC5E56">
        <w:t xml:space="preserve">: 10.1001/amajethics.2024.868. </w:t>
      </w:r>
      <w:hyperlink r:id="rId19" w:history="1">
        <w:r w:rsidRPr="00AC5E56">
          <w:rPr>
            <w:rStyle w:val="Hyperlink"/>
          </w:rPr>
          <w:t>PMID: 39495644.</w:t>
        </w:r>
      </w:hyperlink>
    </w:p>
    <w:p w14:paraId="7E899E89" w14:textId="09A2BA65" w:rsidR="00AC5E56" w:rsidRPr="00AC5E56" w:rsidRDefault="00AC5E56" w:rsidP="00AC5E56">
      <w:r w:rsidRPr="00AC5E56">
        <w:t xml:space="preserve">Psychedelics have long been used by individuals seeking peace and a sense of wellness. This article examines widespread adoption of ketamine as a proxy for psychedelics. For ketamine, there is a need to protect vulnerable persons from exploitation that should be balanced against risks of </w:t>
      </w:r>
      <w:proofErr w:type="spellStart"/>
      <w:r w:rsidRPr="00AC5E56">
        <w:t>hypermedicalization</w:t>
      </w:r>
      <w:proofErr w:type="spellEnd"/>
      <w:r w:rsidRPr="00AC5E56">
        <w:t>. This article suggests strategies for striking such a balance, including by carefully differentiating between persons with psychiatric illnesses, such as treatment-resistant depression, who could benefit from psychedelics, and persons using psychedelics for peace and wellness under careful guidance.</w:t>
      </w:r>
    </w:p>
    <w:p w14:paraId="5B231056" w14:textId="387385C0" w:rsidR="002C17D1" w:rsidRDefault="002C17D1" w:rsidP="006E2EB4">
      <w:pPr>
        <w:rPr>
          <w:rFonts w:ascii="Segoe UI" w:hAnsi="Segoe UI" w:cs="Segoe UI"/>
        </w:rPr>
      </w:pPr>
    </w:p>
    <w:p w14:paraId="20467A6C" w14:textId="77777777" w:rsidR="00B61B32" w:rsidRDefault="00B61B32" w:rsidP="00B61B32">
      <w:pPr>
        <w:pStyle w:val="Heading1"/>
        <w:shd w:val="clear" w:color="auto" w:fill="FFFFFF"/>
        <w:rPr>
          <w:rFonts w:ascii="Merriweather" w:hAnsi="Merriweather"/>
          <w:color w:val="212121"/>
        </w:rPr>
      </w:pPr>
      <w:bookmarkStart w:id="12" w:name="_Toc185341486"/>
      <w:r>
        <w:rPr>
          <w:rFonts w:ascii="Merriweather" w:hAnsi="Merriweather"/>
          <w:color w:val="212121"/>
        </w:rPr>
        <w:t>Advancing ketamine in the treatment hierarchy for refractory depression</w:t>
      </w:r>
      <w:bookmarkEnd w:id="12"/>
    </w:p>
    <w:p w14:paraId="2FBA4704" w14:textId="77777777" w:rsidR="00B61B32" w:rsidRDefault="00B61B32" w:rsidP="006E2EB4">
      <w:pPr>
        <w:rPr>
          <w:rFonts w:ascii="Segoe UI" w:hAnsi="Segoe UI" w:cs="Segoe UI"/>
        </w:rPr>
      </w:pPr>
    </w:p>
    <w:p w14:paraId="715A90EE" w14:textId="222A4753" w:rsidR="00B61B32" w:rsidRDefault="00B61B32" w:rsidP="006E2EB4">
      <w:pPr>
        <w:rPr>
          <w:rFonts w:ascii="Segoe UI" w:hAnsi="Segoe UI" w:cs="Segoe UI"/>
        </w:rPr>
      </w:pPr>
      <w:r w:rsidRPr="00B61B32">
        <w:rPr>
          <w:rFonts w:ascii="Segoe UI" w:hAnsi="Segoe UI" w:cs="Segoe UI"/>
        </w:rPr>
        <w:t xml:space="preserve">Nigam K, King F 4th, </w:t>
      </w:r>
      <w:proofErr w:type="spellStart"/>
      <w:r w:rsidRPr="00B61B32">
        <w:rPr>
          <w:rFonts w:ascii="Segoe UI" w:hAnsi="Segoe UI" w:cs="Segoe UI"/>
        </w:rPr>
        <w:t>Espi</w:t>
      </w:r>
      <w:proofErr w:type="spellEnd"/>
      <w:r w:rsidRPr="00B61B32">
        <w:rPr>
          <w:rFonts w:ascii="Segoe UI" w:hAnsi="Segoe UI" w:cs="Segoe UI"/>
        </w:rPr>
        <w:t xml:space="preserve"> </w:t>
      </w:r>
      <w:proofErr w:type="spellStart"/>
      <w:r w:rsidRPr="00B61B32">
        <w:rPr>
          <w:rFonts w:ascii="Segoe UI" w:hAnsi="Segoe UI" w:cs="Segoe UI"/>
        </w:rPr>
        <w:t>Forcen</w:t>
      </w:r>
      <w:proofErr w:type="spellEnd"/>
      <w:r w:rsidRPr="00B61B32">
        <w:rPr>
          <w:rFonts w:ascii="Segoe UI" w:hAnsi="Segoe UI" w:cs="Segoe UI"/>
        </w:rPr>
        <w:t xml:space="preserve"> F. Advancing ketamine in the treatment hierarchy for refractory depression. Br J Psychiatry. 2024 Oct 25:1-3. </w:t>
      </w:r>
      <w:proofErr w:type="spellStart"/>
      <w:r w:rsidRPr="00B61B32">
        <w:rPr>
          <w:rFonts w:ascii="Segoe UI" w:hAnsi="Segoe UI" w:cs="Segoe UI"/>
        </w:rPr>
        <w:t>doi</w:t>
      </w:r>
      <w:proofErr w:type="spellEnd"/>
      <w:r w:rsidRPr="00B61B32">
        <w:rPr>
          <w:rFonts w:ascii="Segoe UI" w:hAnsi="Segoe UI" w:cs="Segoe UI"/>
        </w:rPr>
        <w:t xml:space="preserve">: 10.1192/bjp.2024.217. </w:t>
      </w:r>
      <w:proofErr w:type="spellStart"/>
      <w:r w:rsidRPr="00B61B32">
        <w:rPr>
          <w:rFonts w:ascii="Segoe UI" w:hAnsi="Segoe UI" w:cs="Segoe UI"/>
        </w:rPr>
        <w:t>Epub</w:t>
      </w:r>
      <w:proofErr w:type="spellEnd"/>
      <w:r w:rsidRPr="00B61B32">
        <w:rPr>
          <w:rFonts w:ascii="Segoe UI" w:hAnsi="Segoe UI" w:cs="Segoe UI"/>
        </w:rPr>
        <w:t xml:space="preserve"> ahead of print. </w:t>
      </w:r>
      <w:hyperlink r:id="rId20" w:history="1">
        <w:r w:rsidRPr="00B61B32">
          <w:rPr>
            <w:rStyle w:val="Hyperlink"/>
            <w:rFonts w:ascii="Segoe UI" w:hAnsi="Segoe UI" w:cs="Segoe UI"/>
          </w:rPr>
          <w:t>PMID: 39449651.</w:t>
        </w:r>
      </w:hyperlink>
    </w:p>
    <w:p w14:paraId="2E654FB9" w14:textId="77777777" w:rsidR="00B61B32" w:rsidRPr="00B61B32" w:rsidRDefault="00B61B32" w:rsidP="00B61B32">
      <w:pPr>
        <w:rPr>
          <w:rFonts w:ascii="Segoe UI" w:hAnsi="Segoe UI" w:cs="Segoe UI"/>
        </w:rPr>
      </w:pPr>
      <w:r w:rsidRPr="00B61B32">
        <w:rPr>
          <w:rFonts w:ascii="Segoe UI" w:hAnsi="Segoe UI" w:cs="Segoe UI"/>
        </w:rPr>
        <w:t>Evidence indicates that ketamine is highly effective, has a lower side effect profile and is better tolerated compared to many augmentation strategies for refractory depression. This, combined with data on psychiatric treatment outcome mediators, suggests that earlier intervention with ketamine could improve outcomes for patients suffering from refractory depression.</w:t>
      </w:r>
    </w:p>
    <w:p w14:paraId="7FB045D1" w14:textId="77777777" w:rsidR="00B61B32" w:rsidRPr="00B61B32" w:rsidRDefault="00B61B32" w:rsidP="00B61B32">
      <w:pPr>
        <w:rPr>
          <w:rFonts w:ascii="Segoe UI" w:hAnsi="Segoe UI" w:cs="Segoe UI"/>
        </w:rPr>
      </w:pPr>
    </w:p>
    <w:p w14:paraId="648600C8" w14:textId="77777777" w:rsidR="00B61B32" w:rsidRPr="003521A6" w:rsidRDefault="00B61B32" w:rsidP="006E2EB4">
      <w:pPr>
        <w:rPr>
          <w:rFonts w:ascii="Segoe UI" w:hAnsi="Segoe UI" w:cs="Segoe UI"/>
        </w:rPr>
      </w:pPr>
    </w:p>
    <w:sectPr w:rsidR="00B61B32" w:rsidRPr="00352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C3"/>
    <w:multiLevelType w:val="multilevel"/>
    <w:tmpl w:val="045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F35A5"/>
    <w:multiLevelType w:val="multilevel"/>
    <w:tmpl w:val="648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23878"/>
    <w:multiLevelType w:val="multilevel"/>
    <w:tmpl w:val="450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F3599"/>
    <w:multiLevelType w:val="multilevel"/>
    <w:tmpl w:val="C20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32E42"/>
    <w:multiLevelType w:val="multilevel"/>
    <w:tmpl w:val="BA3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03694"/>
    <w:multiLevelType w:val="multilevel"/>
    <w:tmpl w:val="02B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20095"/>
    <w:multiLevelType w:val="multilevel"/>
    <w:tmpl w:val="197A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073EDD"/>
    <w:multiLevelType w:val="multilevel"/>
    <w:tmpl w:val="B37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511EA"/>
    <w:multiLevelType w:val="multilevel"/>
    <w:tmpl w:val="E3FA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96F53"/>
    <w:multiLevelType w:val="multilevel"/>
    <w:tmpl w:val="2C3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9365D"/>
    <w:multiLevelType w:val="multilevel"/>
    <w:tmpl w:val="A3F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C24E3E"/>
    <w:multiLevelType w:val="multilevel"/>
    <w:tmpl w:val="E0E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1A3447"/>
    <w:multiLevelType w:val="multilevel"/>
    <w:tmpl w:val="8F9E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17FD6"/>
    <w:multiLevelType w:val="multilevel"/>
    <w:tmpl w:val="2B3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D55FD"/>
    <w:multiLevelType w:val="multilevel"/>
    <w:tmpl w:val="0B4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C532F"/>
    <w:multiLevelType w:val="multilevel"/>
    <w:tmpl w:val="CDB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4001F"/>
    <w:multiLevelType w:val="multilevel"/>
    <w:tmpl w:val="900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D17168"/>
    <w:multiLevelType w:val="multilevel"/>
    <w:tmpl w:val="FDC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DE340A"/>
    <w:multiLevelType w:val="multilevel"/>
    <w:tmpl w:val="66C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30687F"/>
    <w:multiLevelType w:val="multilevel"/>
    <w:tmpl w:val="1F7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74905">
    <w:abstractNumId w:val="11"/>
  </w:num>
  <w:num w:numId="2" w16cid:durableId="345333278">
    <w:abstractNumId w:val="13"/>
  </w:num>
  <w:num w:numId="3" w16cid:durableId="2053262522">
    <w:abstractNumId w:val="15"/>
  </w:num>
  <w:num w:numId="4" w16cid:durableId="521750491">
    <w:abstractNumId w:val="14"/>
  </w:num>
  <w:num w:numId="5" w16cid:durableId="1358893380">
    <w:abstractNumId w:val="1"/>
  </w:num>
  <w:num w:numId="6" w16cid:durableId="1750229825">
    <w:abstractNumId w:val="0"/>
  </w:num>
  <w:num w:numId="7" w16cid:durableId="1633175896">
    <w:abstractNumId w:val="3"/>
  </w:num>
  <w:num w:numId="8" w16cid:durableId="1986275839">
    <w:abstractNumId w:val="18"/>
  </w:num>
  <w:num w:numId="9" w16cid:durableId="1611625440">
    <w:abstractNumId w:val="17"/>
  </w:num>
  <w:num w:numId="10" w16cid:durableId="907571482">
    <w:abstractNumId w:val="4"/>
  </w:num>
  <w:num w:numId="11" w16cid:durableId="335814740">
    <w:abstractNumId w:val="6"/>
  </w:num>
  <w:num w:numId="12" w16cid:durableId="438375495">
    <w:abstractNumId w:val="16"/>
  </w:num>
  <w:num w:numId="13" w16cid:durableId="906183398">
    <w:abstractNumId w:val="10"/>
  </w:num>
  <w:num w:numId="14" w16cid:durableId="1005284237">
    <w:abstractNumId w:val="2"/>
  </w:num>
  <w:num w:numId="15" w16cid:durableId="593441118">
    <w:abstractNumId w:val="5"/>
  </w:num>
  <w:num w:numId="16" w16cid:durableId="220285841">
    <w:abstractNumId w:val="8"/>
  </w:num>
  <w:num w:numId="17" w16cid:durableId="1148202156">
    <w:abstractNumId w:val="9"/>
  </w:num>
  <w:num w:numId="18" w16cid:durableId="310719742">
    <w:abstractNumId w:val="19"/>
  </w:num>
  <w:num w:numId="19" w16cid:durableId="864368771">
    <w:abstractNumId w:val="7"/>
  </w:num>
  <w:num w:numId="20" w16cid:durableId="1580288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80"/>
    <w:rsid w:val="000004DE"/>
    <w:rsid w:val="00017603"/>
    <w:rsid w:val="00030438"/>
    <w:rsid w:val="000423E0"/>
    <w:rsid w:val="000447D5"/>
    <w:rsid w:val="000510E4"/>
    <w:rsid w:val="00077F6B"/>
    <w:rsid w:val="000B3815"/>
    <w:rsid w:val="000D0E5D"/>
    <w:rsid w:val="000E1044"/>
    <w:rsid w:val="00100DA1"/>
    <w:rsid w:val="00107500"/>
    <w:rsid w:val="0014263C"/>
    <w:rsid w:val="0016071D"/>
    <w:rsid w:val="00162DAA"/>
    <w:rsid w:val="00167D83"/>
    <w:rsid w:val="0017002E"/>
    <w:rsid w:val="00174B4F"/>
    <w:rsid w:val="00181909"/>
    <w:rsid w:val="001824C2"/>
    <w:rsid w:val="001A5A14"/>
    <w:rsid w:val="001C5A2D"/>
    <w:rsid w:val="001C6C72"/>
    <w:rsid w:val="001D558C"/>
    <w:rsid w:val="001D698C"/>
    <w:rsid w:val="001E0169"/>
    <w:rsid w:val="00216C8E"/>
    <w:rsid w:val="0022361C"/>
    <w:rsid w:val="00264263"/>
    <w:rsid w:val="00264F03"/>
    <w:rsid w:val="00291227"/>
    <w:rsid w:val="00295BEB"/>
    <w:rsid w:val="002C17D1"/>
    <w:rsid w:val="002D658A"/>
    <w:rsid w:val="00307E29"/>
    <w:rsid w:val="00313E9A"/>
    <w:rsid w:val="00316627"/>
    <w:rsid w:val="003176F3"/>
    <w:rsid w:val="00335886"/>
    <w:rsid w:val="00337004"/>
    <w:rsid w:val="00351346"/>
    <w:rsid w:val="003521A6"/>
    <w:rsid w:val="00361083"/>
    <w:rsid w:val="0036600D"/>
    <w:rsid w:val="00375FB8"/>
    <w:rsid w:val="00381EE2"/>
    <w:rsid w:val="003821FA"/>
    <w:rsid w:val="00391F75"/>
    <w:rsid w:val="00391FF5"/>
    <w:rsid w:val="0039654B"/>
    <w:rsid w:val="003E775C"/>
    <w:rsid w:val="003F42CF"/>
    <w:rsid w:val="00430530"/>
    <w:rsid w:val="004308DF"/>
    <w:rsid w:val="00443AB0"/>
    <w:rsid w:val="0045378A"/>
    <w:rsid w:val="004B6FEA"/>
    <w:rsid w:val="004D5D56"/>
    <w:rsid w:val="004D61DC"/>
    <w:rsid w:val="005063D4"/>
    <w:rsid w:val="00507647"/>
    <w:rsid w:val="00514989"/>
    <w:rsid w:val="00517CBC"/>
    <w:rsid w:val="0052739B"/>
    <w:rsid w:val="005514A0"/>
    <w:rsid w:val="00572ADB"/>
    <w:rsid w:val="00583B9B"/>
    <w:rsid w:val="00594B79"/>
    <w:rsid w:val="005C3C2E"/>
    <w:rsid w:val="0060720C"/>
    <w:rsid w:val="006328E1"/>
    <w:rsid w:val="006346BE"/>
    <w:rsid w:val="006368D1"/>
    <w:rsid w:val="00640EE9"/>
    <w:rsid w:val="0066255F"/>
    <w:rsid w:val="00687994"/>
    <w:rsid w:val="0069340A"/>
    <w:rsid w:val="0069475A"/>
    <w:rsid w:val="006972A3"/>
    <w:rsid w:val="006A7B6C"/>
    <w:rsid w:val="006B3ED6"/>
    <w:rsid w:val="006C0895"/>
    <w:rsid w:val="006C2A8E"/>
    <w:rsid w:val="006C6008"/>
    <w:rsid w:val="006D2342"/>
    <w:rsid w:val="006E2EB4"/>
    <w:rsid w:val="006E769A"/>
    <w:rsid w:val="006F0B5F"/>
    <w:rsid w:val="006F1E47"/>
    <w:rsid w:val="006F57DA"/>
    <w:rsid w:val="00702CAC"/>
    <w:rsid w:val="00731277"/>
    <w:rsid w:val="007411FF"/>
    <w:rsid w:val="007466BC"/>
    <w:rsid w:val="007770EE"/>
    <w:rsid w:val="00781833"/>
    <w:rsid w:val="007818A5"/>
    <w:rsid w:val="007868F0"/>
    <w:rsid w:val="0079285D"/>
    <w:rsid w:val="007D2E46"/>
    <w:rsid w:val="007F57FF"/>
    <w:rsid w:val="007F6E6E"/>
    <w:rsid w:val="008017D8"/>
    <w:rsid w:val="00836BD7"/>
    <w:rsid w:val="0084402C"/>
    <w:rsid w:val="00854980"/>
    <w:rsid w:val="00870B4C"/>
    <w:rsid w:val="00876D1F"/>
    <w:rsid w:val="00880BEB"/>
    <w:rsid w:val="00890822"/>
    <w:rsid w:val="008953B5"/>
    <w:rsid w:val="008A2095"/>
    <w:rsid w:val="008B7366"/>
    <w:rsid w:val="008C3EFB"/>
    <w:rsid w:val="008D1928"/>
    <w:rsid w:val="008F66F2"/>
    <w:rsid w:val="00933D8F"/>
    <w:rsid w:val="00941E18"/>
    <w:rsid w:val="00960961"/>
    <w:rsid w:val="0097450A"/>
    <w:rsid w:val="00980C92"/>
    <w:rsid w:val="0098517F"/>
    <w:rsid w:val="009C657C"/>
    <w:rsid w:val="009E1782"/>
    <w:rsid w:val="00A00324"/>
    <w:rsid w:val="00A0147B"/>
    <w:rsid w:val="00A07CFF"/>
    <w:rsid w:val="00A108FA"/>
    <w:rsid w:val="00A211FC"/>
    <w:rsid w:val="00A234AB"/>
    <w:rsid w:val="00A2462A"/>
    <w:rsid w:val="00A41334"/>
    <w:rsid w:val="00A603BC"/>
    <w:rsid w:val="00A61E2B"/>
    <w:rsid w:val="00A749C6"/>
    <w:rsid w:val="00AB4610"/>
    <w:rsid w:val="00AC1FE1"/>
    <w:rsid w:val="00AC5E56"/>
    <w:rsid w:val="00AD1BF2"/>
    <w:rsid w:val="00AE2D34"/>
    <w:rsid w:val="00AE472E"/>
    <w:rsid w:val="00AF46E2"/>
    <w:rsid w:val="00B002B4"/>
    <w:rsid w:val="00B338CD"/>
    <w:rsid w:val="00B34C3E"/>
    <w:rsid w:val="00B57EC5"/>
    <w:rsid w:val="00B60CF9"/>
    <w:rsid w:val="00B61B32"/>
    <w:rsid w:val="00B70B46"/>
    <w:rsid w:val="00B73EEB"/>
    <w:rsid w:val="00B80B6F"/>
    <w:rsid w:val="00B82BDF"/>
    <w:rsid w:val="00BC5E5E"/>
    <w:rsid w:val="00BD13DE"/>
    <w:rsid w:val="00BD4DE6"/>
    <w:rsid w:val="00BD6F72"/>
    <w:rsid w:val="00BF3666"/>
    <w:rsid w:val="00BF4685"/>
    <w:rsid w:val="00BF5AF4"/>
    <w:rsid w:val="00C06871"/>
    <w:rsid w:val="00C07207"/>
    <w:rsid w:val="00C1411A"/>
    <w:rsid w:val="00C57F17"/>
    <w:rsid w:val="00C60412"/>
    <w:rsid w:val="00C76551"/>
    <w:rsid w:val="00C97635"/>
    <w:rsid w:val="00CB0BAA"/>
    <w:rsid w:val="00CB351D"/>
    <w:rsid w:val="00CE40F6"/>
    <w:rsid w:val="00CE6E05"/>
    <w:rsid w:val="00D17175"/>
    <w:rsid w:val="00D17217"/>
    <w:rsid w:val="00D6271C"/>
    <w:rsid w:val="00D85E17"/>
    <w:rsid w:val="00DB30BA"/>
    <w:rsid w:val="00DB7168"/>
    <w:rsid w:val="00DC62E6"/>
    <w:rsid w:val="00DF1137"/>
    <w:rsid w:val="00DF2746"/>
    <w:rsid w:val="00E070C5"/>
    <w:rsid w:val="00E20DCD"/>
    <w:rsid w:val="00E21579"/>
    <w:rsid w:val="00E23E79"/>
    <w:rsid w:val="00E255BA"/>
    <w:rsid w:val="00E31126"/>
    <w:rsid w:val="00E34DB9"/>
    <w:rsid w:val="00E74C57"/>
    <w:rsid w:val="00EC7D1E"/>
    <w:rsid w:val="00F00429"/>
    <w:rsid w:val="00F05E92"/>
    <w:rsid w:val="00F369C8"/>
    <w:rsid w:val="00F6668E"/>
    <w:rsid w:val="00F7402A"/>
    <w:rsid w:val="00FA3A4B"/>
    <w:rsid w:val="00FC0F56"/>
    <w:rsid w:val="00FE279F"/>
    <w:rsid w:val="00FF1D34"/>
    <w:rsid w:val="00FF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3DC"/>
  <w15:docId w15:val="{AAED3D18-D960-482D-8DC1-D2987793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74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6C0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A20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nkk1o7nmb">
    <w:name w:val="marknkk1o7nmb"/>
    <w:basedOn w:val="DefaultParagraphFont"/>
    <w:rsid w:val="00854980"/>
  </w:style>
  <w:style w:type="paragraph" w:styleId="NormalWeb">
    <w:name w:val="Normal (Web)"/>
    <w:basedOn w:val="Normal"/>
    <w:uiPriority w:val="99"/>
    <w:unhideWhenUsed/>
    <w:rsid w:val="00854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5mjl31uu">
    <w:name w:val="markv5mjl31uu"/>
    <w:basedOn w:val="DefaultParagraphFont"/>
    <w:rsid w:val="00854980"/>
  </w:style>
  <w:style w:type="character" w:customStyle="1" w:styleId="markgm87h62zw">
    <w:name w:val="markgm87h62zw"/>
    <w:basedOn w:val="DefaultParagraphFont"/>
    <w:rsid w:val="00854980"/>
  </w:style>
  <w:style w:type="character" w:styleId="Hyperlink">
    <w:name w:val="Hyperlink"/>
    <w:basedOn w:val="DefaultParagraphFont"/>
    <w:uiPriority w:val="99"/>
    <w:unhideWhenUsed/>
    <w:rsid w:val="00DF2746"/>
    <w:rPr>
      <w:color w:val="0563C1" w:themeColor="hyperlink"/>
      <w:u w:val="single"/>
    </w:rPr>
  </w:style>
  <w:style w:type="character" w:customStyle="1" w:styleId="Heading1Char">
    <w:name w:val="Heading 1 Char"/>
    <w:basedOn w:val="DefaultParagraphFont"/>
    <w:link w:val="Heading1"/>
    <w:uiPriority w:val="9"/>
    <w:rsid w:val="00DF2746"/>
    <w:rPr>
      <w:rFonts w:eastAsiaTheme="minorEastAsia"/>
      <w:caps/>
      <w:color w:val="FFFFFF" w:themeColor="background1"/>
      <w:spacing w:val="15"/>
      <w:shd w:val="clear" w:color="auto" w:fill="5B9BD5" w:themeFill="accent1"/>
    </w:rPr>
  </w:style>
  <w:style w:type="paragraph" w:customStyle="1" w:styleId="paragraph">
    <w:name w:val="paragraph"/>
    <w:basedOn w:val="Normal"/>
    <w:rsid w:val="00DF2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2746"/>
  </w:style>
  <w:style w:type="character" w:customStyle="1" w:styleId="eop">
    <w:name w:val="eop"/>
    <w:basedOn w:val="DefaultParagraphFont"/>
    <w:rsid w:val="00DF2746"/>
  </w:style>
  <w:style w:type="paragraph" w:styleId="TOCHeading">
    <w:name w:val="TOC Heading"/>
    <w:basedOn w:val="Heading1"/>
    <w:next w:val="Normal"/>
    <w:uiPriority w:val="39"/>
    <w:unhideWhenUsed/>
    <w:qFormat/>
    <w:rsid w:val="00DF2746"/>
    <w:pPr>
      <w:outlineLvl w:val="9"/>
    </w:pPr>
  </w:style>
  <w:style w:type="paragraph" w:styleId="TOC1">
    <w:name w:val="toc 1"/>
    <w:basedOn w:val="Normal"/>
    <w:next w:val="Normal"/>
    <w:autoRedefine/>
    <w:uiPriority w:val="39"/>
    <w:unhideWhenUsed/>
    <w:rsid w:val="00DF2746"/>
    <w:pPr>
      <w:spacing w:before="100" w:after="100" w:line="276" w:lineRule="auto"/>
    </w:pPr>
    <w:rPr>
      <w:rFonts w:eastAsiaTheme="minorEastAsia"/>
      <w:sz w:val="20"/>
      <w:szCs w:val="20"/>
    </w:rPr>
  </w:style>
  <w:style w:type="character" w:styleId="Strong">
    <w:name w:val="Strong"/>
    <w:uiPriority w:val="22"/>
    <w:qFormat/>
    <w:rsid w:val="00DF2746"/>
    <w:rPr>
      <w:b/>
      <w:bCs/>
    </w:rPr>
  </w:style>
  <w:style w:type="character" w:styleId="FollowedHyperlink">
    <w:name w:val="FollowedHyperlink"/>
    <w:basedOn w:val="DefaultParagraphFont"/>
    <w:uiPriority w:val="99"/>
    <w:semiHidden/>
    <w:unhideWhenUsed/>
    <w:rsid w:val="00DF2746"/>
    <w:rPr>
      <w:color w:val="954F72" w:themeColor="followedHyperlink"/>
      <w:u w:val="single"/>
    </w:rPr>
  </w:style>
  <w:style w:type="character" w:styleId="UnresolvedMention">
    <w:name w:val="Unresolved Mention"/>
    <w:basedOn w:val="DefaultParagraphFont"/>
    <w:uiPriority w:val="99"/>
    <w:semiHidden/>
    <w:unhideWhenUsed/>
    <w:rsid w:val="00D17175"/>
    <w:rPr>
      <w:color w:val="605E5C"/>
      <w:shd w:val="clear" w:color="auto" w:fill="E1DFDD"/>
    </w:rPr>
  </w:style>
  <w:style w:type="character" w:customStyle="1" w:styleId="Heading2Char">
    <w:name w:val="Heading 2 Char"/>
    <w:basedOn w:val="DefaultParagraphFont"/>
    <w:link w:val="Heading2"/>
    <w:uiPriority w:val="9"/>
    <w:rsid w:val="006C08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C0895"/>
    <w:pPr>
      <w:spacing w:after="100"/>
      <w:ind w:left="220"/>
    </w:pPr>
  </w:style>
  <w:style w:type="paragraph" w:styleId="Revision">
    <w:name w:val="Revision"/>
    <w:hidden/>
    <w:uiPriority w:val="99"/>
    <w:semiHidden/>
    <w:rsid w:val="003F42CF"/>
    <w:pPr>
      <w:spacing w:after="0" w:line="240" w:lineRule="auto"/>
    </w:pPr>
  </w:style>
  <w:style w:type="character" w:styleId="CommentReference">
    <w:name w:val="annotation reference"/>
    <w:basedOn w:val="DefaultParagraphFont"/>
    <w:uiPriority w:val="99"/>
    <w:semiHidden/>
    <w:unhideWhenUsed/>
    <w:rsid w:val="007F6E6E"/>
    <w:rPr>
      <w:sz w:val="16"/>
      <w:szCs w:val="16"/>
    </w:rPr>
  </w:style>
  <w:style w:type="paragraph" w:styleId="CommentText">
    <w:name w:val="annotation text"/>
    <w:basedOn w:val="Normal"/>
    <w:link w:val="CommentTextChar"/>
    <w:uiPriority w:val="99"/>
    <w:semiHidden/>
    <w:unhideWhenUsed/>
    <w:rsid w:val="007F6E6E"/>
    <w:pPr>
      <w:spacing w:line="240" w:lineRule="auto"/>
    </w:pPr>
    <w:rPr>
      <w:sz w:val="20"/>
      <w:szCs w:val="20"/>
    </w:rPr>
  </w:style>
  <w:style w:type="character" w:customStyle="1" w:styleId="CommentTextChar">
    <w:name w:val="Comment Text Char"/>
    <w:basedOn w:val="DefaultParagraphFont"/>
    <w:link w:val="CommentText"/>
    <w:uiPriority w:val="99"/>
    <w:semiHidden/>
    <w:rsid w:val="007F6E6E"/>
    <w:rPr>
      <w:sz w:val="20"/>
      <w:szCs w:val="20"/>
    </w:rPr>
  </w:style>
  <w:style w:type="paragraph" w:styleId="CommentSubject">
    <w:name w:val="annotation subject"/>
    <w:basedOn w:val="CommentText"/>
    <w:next w:val="CommentText"/>
    <w:link w:val="CommentSubjectChar"/>
    <w:uiPriority w:val="99"/>
    <w:semiHidden/>
    <w:unhideWhenUsed/>
    <w:rsid w:val="007F6E6E"/>
    <w:rPr>
      <w:b/>
      <w:bCs/>
    </w:rPr>
  </w:style>
  <w:style w:type="character" w:customStyle="1" w:styleId="CommentSubjectChar">
    <w:name w:val="Comment Subject Char"/>
    <w:basedOn w:val="CommentTextChar"/>
    <w:link w:val="CommentSubject"/>
    <w:uiPriority w:val="99"/>
    <w:semiHidden/>
    <w:rsid w:val="007F6E6E"/>
    <w:rPr>
      <w:b/>
      <w:bCs/>
      <w:sz w:val="20"/>
      <w:szCs w:val="20"/>
    </w:rPr>
  </w:style>
  <w:style w:type="character" w:customStyle="1" w:styleId="entity">
    <w:name w:val="_entity"/>
    <w:basedOn w:val="DefaultParagraphFont"/>
    <w:rsid w:val="00162DAA"/>
  </w:style>
  <w:style w:type="character" w:customStyle="1" w:styleId="pu1yl">
    <w:name w:val="pu1yl"/>
    <w:basedOn w:val="DefaultParagraphFont"/>
    <w:rsid w:val="00162DAA"/>
  </w:style>
  <w:style w:type="paragraph" w:styleId="ListParagraph">
    <w:name w:val="List Paragraph"/>
    <w:basedOn w:val="Normal"/>
    <w:uiPriority w:val="34"/>
    <w:qFormat/>
    <w:rsid w:val="00162DAA"/>
    <w:pPr>
      <w:ind w:left="720"/>
      <w:contextualSpacing/>
    </w:pPr>
  </w:style>
  <w:style w:type="character" w:customStyle="1" w:styleId="xgmail-subtitle">
    <w:name w:val="x_gmail-subtitle"/>
    <w:basedOn w:val="DefaultParagraphFont"/>
    <w:rsid w:val="00162DAA"/>
  </w:style>
  <w:style w:type="character" w:customStyle="1" w:styleId="xgmail-meta-authors--limited">
    <w:name w:val="x_gmail-meta-authors--limited"/>
    <w:basedOn w:val="DefaultParagraphFont"/>
    <w:rsid w:val="00162DAA"/>
  </w:style>
  <w:style w:type="character" w:customStyle="1" w:styleId="xgmail-wi-fullname">
    <w:name w:val="x_gmail-wi-fullname"/>
    <w:basedOn w:val="DefaultParagraphFont"/>
    <w:rsid w:val="00162DAA"/>
  </w:style>
  <w:style w:type="character" w:customStyle="1" w:styleId="xgmail-al-author-delim">
    <w:name w:val="x_gmail-al-author-delim"/>
    <w:basedOn w:val="DefaultParagraphFont"/>
    <w:rsid w:val="00162DAA"/>
  </w:style>
  <w:style w:type="character" w:customStyle="1" w:styleId="xgmail-meta-citation-journal-name">
    <w:name w:val="x_gmail-meta-citation-journal-name"/>
    <w:basedOn w:val="DefaultParagraphFont"/>
    <w:rsid w:val="00162DAA"/>
  </w:style>
  <w:style w:type="character" w:customStyle="1" w:styleId="xgmail-meta-citation">
    <w:name w:val="x_gmail-meta-citation"/>
    <w:basedOn w:val="DefaultParagraphFont"/>
    <w:rsid w:val="00162DAA"/>
  </w:style>
  <w:style w:type="paragraph" w:customStyle="1" w:styleId="xgmail-c-article-identifiersitem">
    <w:name w:val="x_gmail-c-article-identifiers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author-listitem">
    <w:name w:val="x_gmail-c-article-author-list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info-details">
    <w:name w:val="x_gmail-c-article-info-details"/>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u-visually-hidden">
    <w:name w:val="x_gmail-u-visually-hidden"/>
    <w:basedOn w:val="DefaultParagraphFont"/>
    <w:rsid w:val="00162DAA"/>
  </w:style>
  <w:style w:type="character" w:customStyle="1" w:styleId="xgmail-month">
    <w:name w:val="x_gmail-month"/>
    <w:basedOn w:val="DefaultParagraphFont"/>
    <w:rsid w:val="00162DAA"/>
  </w:style>
  <w:style w:type="character" w:customStyle="1" w:styleId="xgmail-day">
    <w:name w:val="x_gmail-day"/>
    <w:basedOn w:val="DefaultParagraphFont"/>
    <w:rsid w:val="00162DAA"/>
  </w:style>
  <w:style w:type="character" w:customStyle="1" w:styleId="xgmail-year">
    <w:name w:val="x_gmail-year"/>
    <w:basedOn w:val="DefaultParagraphFont"/>
    <w:rsid w:val="00162DAA"/>
  </w:style>
  <w:style w:type="character" w:customStyle="1" w:styleId="Heading3Char">
    <w:name w:val="Heading 3 Char"/>
    <w:basedOn w:val="DefaultParagraphFont"/>
    <w:link w:val="Heading3"/>
    <w:uiPriority w:val="9"/>
    <w:semiHidden/>
    <w:rsid w:val="008A2095"/>
    <w:rPr>
      <w:rFonts w:asciiTheme="majorHAnsi" w:eastAsiaTheme="majorEastAsia" w:hAnsiTheme="majorHAnsi" w:cstheme="majorBidi"/>
      <w:color w:val="1F4D78" w:themeColor="accent1" w:themeShade="7F"/>
      <w:sz w:val="24"/>
      <w:szCs w:val="24"/>
    </w:rPr>
  </w:style>
  <w:style w:type="character" w:customStyle="1" w:styleId="bold">
    <w:name w:val="bold"/>
    <w:basedOn w:val="DefaultParagraphFont"/>
    <w:rsid w:val="00D85E17"/>
  </w:style>
  <w:style w:type="character" w:customStyle="1" w:styleId="italic">
    <w:name w:val="italic"/>
    <w:basedOn w:val="DefaultParagraphFont"/>
    <w:rsid w:val="00D85E17"/>
  </w:style>
  <w:style w:type="character" w:styleId="Emphasis">
    <w:name w:val="Emphasis"/>
    <w:basedOn w:val="DefaultParagraphFont"/>
    <w:uiPriority w:val="20"/>
    <w:qFormat/>
    <w:rsid w:val="00702CAC"/>
    <w:rPr>
      <w:i/>
      <w:iCs/>
    </w:rPr>
  </w:style>
  <w:style w:type="paragraph" w:styleId="TOC3">
    <w:name w:val="toc 3"/>
    <w:basedOn w:val="Normal"/>
    <w:next w:val="Normal"/>
    <w:autoRedefine/>
    <w:uiPriority w:val="39"/>
    <w:unhideWhenUsed/>
    <w:rsid w:val="0022361C"/>
    <w:pPr>
      <w:spacing w:after="100"/>
      <w:ind w:left="440"/>
    </w:pPr>
  </w:style>
  <w:style w:type="character" w:customStyle="1" w:styleId="markhzy7pw41h">
    <w:name w:val="markhzy7pw41h"/>
    <w:basedOn w:val="DefaultParagraphFont"/>
    <w:rsid w:val="006972A3"/>
  </w:style>
  <w:style w:type="character" w:customStyle="1" w:styleId="markvik9pu98q">
    <w:name w:val="markvik9pu98q"/>
    <w:basedOn w:val="DefaultParagraphFont"/>
    <w:rsid w:val="006972A3"/>
  </w:style>
  <w:style w:type="paragraph" w:customStyle="1" w:styleId="xmsonormal">
    <w:name w:val="x_msonormal"/>
    <w:basedOn w:val="Normal"/>
    <w:rsid w:val="00697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l-author-delim">
    <w:name w:val="x_al-author-delim"/>
    <w:basedOn w:val="DefaultParagraphFont"/>
    <w:rsid w:val="006972A3"/>
  </w:style>
  <w:style w:type="character" w:customStyle="1" w:styleId="xcolon-for-citation-subtitle">
    <w:name w:val="x_colon-for-citation-subtitle"/>
    <w:basedOn w:val="DefaultParagraphFont"/>
    <w:rsid w:val="006972A3"/>
  </w:style>
  <w:style w:type="character" w:customStyle="1" w:styleId="xsubtitle">
    <w:name w:val="x_subtitle"/>
    <w:basedOn w:val="DefaultParagraphFont"/>
    <w:rsid w:val="00697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75">
      <w:bodyDiv w:val="1"/>
      <w:marLeft w:val="0"/>
      <w:marRight w:val="0"/>
      <w:marTop w:val="0"/>
      <w:marBottom w:val="0"/>
      <w:divBdr>
        <w:top w:val="none" w:sz="0" w:space="0" w:color="auto"/>
        <w:left w:val="none" w:sz="0" w:space="0" w:color="auto"/>
        <w:bottom w:val="none" w:sz="0" w:space="0" w:color="auto"/>
        <w:right w:val="none" w:sz="0" w:space="0" w:color="auto"/>
      </w:divBdr>
    </w:div>
    <w:div w:id="10880045">
      <w:bodyDiv w:val="1"/>
      <w:marLeft w:val="0"/>
      <w:marRight w:val="0"/>
      <w:marTop w:val="0"/>
      <w:marBottom w:val="0"/>
      <w:divBdr>
        <w:top w:val="none" w:sz="0" w:space="0" w:color="auto"/>
        <w:left w:val="none" w:sz="0" w:space="0" w:color="auto"/>
        <w:bottom w:val="none" w:sz="0" w:space="0" w:color="auto"/>
        <w:right w:val="none" w:sz="0" w:space="0" w:color="auto"/>
      </w:divBdr>
    </w:div>
    <w:div w:id="16398053">
      <w:bodyDiv w:val="1"/>
      <w:marLeft w:val="0"/>
      <w:marRight w:val="0"/>
      <w:marTop w:val="0"/>
      <w:marBottom w:val="0"/>
      <w:divBdr>
        <w:top w:val="none" w:sz="0" w:space="0" w:color="auto"/>
        <w:left w:val="none" w:sz="0" w:space="0" w:color="auto"/>
        <w:bottom w:val="none" w:sz="0" w:space="0" w:color="auto"/>
        <w:right w:val="none" w:sz="0" w:space="0" w:color="auto"/>
      </w:divBdr>
    </w:div>
    <w:div w:id="18510749">
      <w:bodyDiv w:val="1"/>
      <w:marLeft w:val="0"/>
      <w:marRight w:val="0"/>
      <w:marTop w:val="0"/>
      <w:marBottom w:val="0"/>
      <w:divBdr>
        <w:top w:val="none" w:sz="0" w:space="0" w:color="auto"/>
        <w:left w:val="none" w:sz="0" w:space="0" w:color="auto"/>
        <w:bottom w:val="none" w:sz="0" w:space="0" w:color="auto"/>
        <w:right w:val="none" w:sz="0" w:space="0" w:color="auto"/>
      </w:divBdr>
    </w:div>
    <w:div w:id="19550785">
      <w:bodyDiv w:val="1"/>
      <w:marLeft w:val="0"/>
      <w:marRight w:val="0"/>
      <w:marTop w:val="0"/>
      <w:marBottom w:val="0"/>
      <w:divBdr>
        <w:top w:val="none" w:sz="0" w:space="0" w:color="auto"/>
        <w:left w:val="none" w:sz="0" w:space="0" w:color="auto"/>
        <w:bottom w:val="none" w:sz="0" w:space="0" w:color="auto"/>
        <w:right w:val="none" w:sz="0" w:space="0" w:color="auto"/>
      </w:divBdr>
    </w:div>
    <w:div w:id="20712970">
      <w:bodyDiv w:val="1"/>
      <w:marLeft w:val="0"/>
      <w:marRight w:val="0"/>
      <w:marTop w:val="0"/>
      <w:marBottom w:val="0"/>
      <w:divBdr>
        <w:top w:val="none" w:sz="0" w:space="0" w:color="auto"/>
        <w:left w:val="none" w:sz="0" w:space="0" w:color="auto"/>
        <w:bottom w:val="none" w:sz="0" w:space="0" w:color="auto"/>
        <w:right w:val="none" w:sz="0" w:space="0" w:color="auto"/>
      </w:divBdr>
    </w:div>
    <w:div w:id="31077380">
      <w:bodyDiv w:val="1"/>
      <w:marLeft w:val="0"/>
      <w:marRight w:val="0"/>
      <w:marTop w:val="0"/>
      <w:marBottom w:val="0"/>
      <w:divBdr>
        <w:top w:val="none" w:sz="0" w:space="0" w:color="auto"/>
        <w:left w:val="none" w:sz="0" w:space="0" w:color="auto"/>
        <w:bottom w:val="none" w:sz="0" w:space="0" w:color="auto"/>
        <w:right w:val="none" w:sz="0" w:space="0" w:color="auto"/>
      </w:divBdr>
    </w:div>
    <w:div w:id="33190818">
      <w:bodyDiv w:val="1"/>
      <w:marLeft w:val="0"/>
      <w:marRight w:val="0"/>
      <w:marTop w:val="0"/>
      <w:marBottom w:val="0"/>
      <w:divBdr>
        <w:top w:val="none" w:sz="0" w:space="0" w:color="auto"/>
        <w:left w:val="none" w:sz="0" w:space="0" w:color="auto"/>
        <w:bottom w:val="none" w:sz="0" w:space="0" w:color="auto"/>
        <w:right w:val="none" w:sz="0" w:space="0" w:color="auto"/>
      </w:divBdr>
    </w:div>
    <w:div w:id="33969301">
      <w:bodyDiv w:val="1"/>
      <w:marLeft w:val="0"/>
      <w:marRight w:val="0"/>
      <w:marTop w:val="0"/>
      <w:marBottom w:val="0"/>
      <w:divBdr>
        <w:top w:val="none" w:sz="0" w:space="0" w:color="auto"/>
        <w:left w:val="none" w:sz="0" w:space="0" w:color="auto"/>
        <w:bottom w:val="none" w:sz="0" w:space="0" w:color="auto"/>
        <w:right w:val="none" w:sz="0" w:space="0" w:color="auto"/>
      </w:divBdr>
    </w:div>
    <w:div w:id="44722416">
      <w:bodyDiv w:val="1"/>
      <w:marLeft w:val="0"/>
      <w:marRight w:val="0"/>
      <w:marTop w:val="0"/>
      <w:marBottom w:val="0"/>
      <w:divBdr>
        <w:top w:val="none" w:sz="0" w:space="0" w:color="auto"/>
        <w:left w:val="none" w:sz="0" w:space="0" w:color="auto"/>
        <w:bottom w:val="none" w:sz="0" w:space="0" w:color="auto"/>
        <w:right w:val="none" w:sz="0" w:space="0" w:color="auto"/>
      </w:divBdr>
    </w:div>
    <w:div w:id="52041922">
      <w:bodyDiv w:val="1"/>
      <w:marLeft w:val="0"/>
      <w:marRight w:val="0"/>
      <w:marTop w:val="0"/>
      <w:marBottom w:val="0"/>
      <w:divBdr>
        <w:top w:val="none" w:sz="0" w:space="0" w:color="auto"/>
        <w:left w:val="none" w:sz="0" w:space="0" w:color="auto"/>
        <w:bottom w:val="none" w:sz="0" w:space="0" w:color="auto"/>
        <w:right w:val="none" w:sz="0" w:space="0" w:color="auto"/>
      </w:divBdr>
    </w:div>
    <w:div w:id="57097592">
      <w:bodyDiv w:val="1"/>
      <w:marLeft w:val="0"/>
      <w:marRight w:val="0"/>
      <w:marTop w:val="0"/>
      <w:marBottom w:val="0"/>
      <w:divBdr>
        <w:top w:val="none" w:sz="0" w:space="0" w:color="auto"/>
        <w:left w:val="none" w:sz="0" w:space="0" w:color="auto"/>
        <w:bottom w:val="none" w:sz="0" w:space="0" w:color="auto"/>
        <w:right w:val="none" w:sz="0" w:space="0" w:color="auto"/>
      </w:divBdr>
    </w:div>
    <w:div w:id="62220495">
      <w:bodyDiv w:val="1"/>
      <w:marLeft w:val="0"/>
      <w:marRight w:val="0"/>
      <w:marTop w:val="0"/>
      <w:marBottom w:val="0"/>
      <w:divBdr>
        <w:top w:val="none" w:sz="0" w:space="0" w:color="auto"/>
        <w:left w:val="none" w:sz="0" w:space="0" w:color="auto"/>
        <w:bottom w:val="none" w:sz="0" w:space="0" w:color="auto"/>
        <w:right w:val="none" w:sz="0" w:space="0" w:color="auto"/>
      </w:divBdr>
    </w:div>
    <w:div w:id="65690169">
      <w:bodyDiv w:val="1"/>
      <w:marLeft w:val="0"/>
      <w:marRight w:val="0"/>
      <w:marTop w:val="0"/>
      <w:marBottom w:val="0"/>
      <w:divBdr>
        <w:top w:val="none" w:sz="0" w:space="0" w:color="auto"/>
        <w:left w:val="none" w:sz="0" w:space="0" w:color="auto"/>
        <w:bottom w:val="none" w:sz="0" w:space="0" w:color="auto"/>
        <w:right w:val="none" w:sz="0" w:space="0" w:color="auto"/>
      </w:divBdr>
    </w:div>
    <w:div w:id="71052241">
      <w:bodyDiv w:val="1"/>
      <w:marLeft w:val="0"/>
      <w:marRight w:val="0"/>
      <w:marTop w:val="0"/>
      <w:marBottom w:val="0"/>
      <w:divBdr>
        <w:top w:val="none" w:sz="0" w:space="0" w:color="auto"/>
        <w:left w:val="none" w:sz="0" w:space="0" w:color="auto"/>
        <w:bottom w:val="none" w:sz="0" w:space="0" w:color="auto"/>
        <w:right w:val="none" w:sz="0" w:space="0" w:color="auto"/>
      </w:divBdr>
    </w:div>
    <w:div w:id="75519553">
      <w:bodyDiv w:val="1"/>
      <w:marLeft w:val="0"/>
      <w:marRight w:val="0"/>
      <w:marTop w:val="0"/>
      <w:marBottom w:val="0"/>
      <w:divBdr>
        <w:top w:val="none" w:sz="0" w:space="0" w:color="auto"/>
        <w:left w:val="none" w:sz="0" w:space="0" w:color="auto"/>
        <w:bottom w:val="none" w:sz="0" w:space="0" w:color="auto"/>
        <w:right w:val="none" w:sz="0" w:space="0" w:color="auto"/>
      </w:divBdr>
    </w:div>
    <w:div w:id="76638903">
      <w:bodyDiv w:val="1"/>
      <w:marLeft w:val="0"/>
      <w:marRight w:val="0"/>
      <w:marTop w:val="0"/>
      <w:marBottom w:val="0"/>
      <w:divBdr>
        <w:top w:val="none" w:sz="0" w:space="0" w:color="auto"/>
        <w:left w:val="none" w:sz="0" w:space="0" w:color="auto"/>
        <w:bottom w:val="none" w:sz="0" w:space="0" w:color="auto"/>
        <w:right w:val="none" w:sz="0" w:space="0" w:color="auto"/>
      </w:divBdr>
    </w:div>
    <w:div w:id="81607704">
      <w:bodyDiv w:val="1"/>
      <w:marLeft w:val="0"/>
      <w:marRight w:val="0"/>
      <w:marTop w:val="0"/>
      <w:marBottom w:val="0"/>
      <w:divBdr>
        <w:top w:val="none" w:sz="0" w:space="0" w:color="auto"/>
        <w:left w:val="none" w:sz="0" w:space="0" w:color="auto"/>
        <w:bottom w:val="none" w:sz="0" w:space="0" w:color="auto"/>
        <w:right w:val="none" w:sz="0" w:space="0" w:color="auto"/>
      </w:divBdr>
    </w:div>
    <w:div w:id="90392778">
      <w:bodyDiv w:val="1"/>
      <w:marLeft w:val="0"/>
      <w:marRight w:val="0"/>
      <w:marTop w:val="0"/>
      <w:marBottom w:val="0"/>
      <w:divBdr>
        <w:top w:val="none" w:sz="0" w:space="0" w:color="auto"/>
        <w:left w:val="none" w:sz="0" w:space="0" w:color="auto"/>
        <w:bottom w:val="none" w:sz="0" w:space="0" w:color="auto"/>
        <w:right w:val="none" w:sz="0" w:space="0" w:color="auto"/>
      </w:divBdr>
    </w:div>
    <w:div w:id="90511830">
      <w:bodyDiv w:val="1"/>
      <w:marLeft w:val="0"/>
      <w:marRight w:val="0"/>
      <w:marTop w:val="0"/>
      <w:marBottom w:val="0"/>
      <w:divBdr>
        <w:top w:val="none" w:sz="0" w:space="0" w:color="auto"/>
        <w:left w:val="none" w:sz="0" w:space="0" w:color="auto"/>
        <w:bottom w:val="none" w:sz="0" w:space="0" w:color="auto"/>
        <w:right w:val="none" w:sz="0" w:space="0" w:color="auto"/>
      </w:divBdr>
    </w:div>
    <w:div w:id="99834628">
      <w:bodyDiv w:val="1"/>
      <w:marLeft w:val="0"/>
      <w:marRight w:val="0"/>
      <w:marTop w:val="0"/>
      <w:marBottom w:val="0"/>
      <w:divBdr>
        <w:top w:val="none" w:sz="0" w:space="0" w:color="auto"/>
        <w:left w:val="none" w:sz="0" w:space="0" w:color="auto"/>
        <w:bottom w:val="none" w:sz="0" w:space="0" w:color="auto"/>
        <w:right w:val="none" w:sz="0" w:space="0" w:color="auto"/>
      </w:divBdr>
      <w:divsChild>
        <w:div w:id="1381324649">
          <w:marLeft w:val="0"/>
          <w:marRight w:val="0"/>
          <w:marTop w:val="0"/>
          <w:marBottom w:val="0"/>
          <w:divBdr>
            <w:top w:val="none" w:sz="0" w:space="0" w:color="auto"/>
            <w:left w:val="none" w:sz="0" w:space="0" w:color="auto"/>
            <w:bottom w:val="none" w:sz="0" w:space="0" w:color="auto"/>
            <w:right w:val="none" w:sz="0" w:space="0" w:color="auto"/>
          </w:divBdr>
          <w:divsChild>
            <w:div w:id="10265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7570">
      <w:bodyDiv w:val="1"/>
      <w:marLeft w:val="0"/>
      <w:marRight w:val="0"/>
      <w:marTop w:val="0"/>
      <w:marBottom w:val="0"/>
      <w:divBdr>
        <w:top w:val="none" w:sz="0" w:space="0" w:color="auto"/>
        <w:left w:val="none" w:sz="0" w:space="0" w:color="auto"/>
        <w:bottom w:val="none" w:sz="0" w:space="0" w:color="auto"/>
        <w:right w:val="none" w:sz="0" w:space="0" w:color="auto"/>
      </w:divBdr>
    </w:div>
    <w:div w:id="105080399">
      <w:bodyDiv w:val="1"/>
      <w:marLeft w:val="0"/>
      <w:marRight w:val="0"/>
      <w:marTop w:val="0"/>
      <w:marBottom w:val="0"/>
      <w:divBdr>
        <w:top w:val="none" w:sz="0" w:space="0" w:color="auto"/>
        <w:left w:val="none" w:sz="0" w:space="0" w:color="auto"/>
        <w:bottom w:val="none" w:sz="0" w:space="0" w:color="auto"/>
        <w:right w:val="none" w:sz="0" w:space="0" w:color="auto"/>
      </w:divBdr>
    </w:div>
    <w:div w:id="113328208">
      <w:bodyDiv w:val="1"/>
      <w:marLeft w:val="0"/>
      <w:marRight w:val="0"/>
      <w:marTop w:val="0"/>
      <w:marBottom w:val="0"/>
      <w:divBdr>
        <w:top w:val="none" w:sz="0" w:space="0" w:color="auto"/>
        <w:left w:val="none" w:sz="0" w:space="0" w:color="auto"/>
        <w:bottom w:val="none" w:sz="0" w:space="0" w:color="auto"/>
        <w:right w:val="none" w:sz="0" w:space="0" w:color="auto"/>
      </w:divBdr>
    </w:div>
    <w:div w:id="116147701">
      <w:bodyDiv w:val="1"/>
      <w:marLeft w:val="0"/>
      <w:marRight w:val="0"/>
      <w:marTop w:val="0"/>
      <w:marBottom w:val="0"/>
      <w:divBdr>
        <w:top w:val="none" w:sz="0" w:space="0" w:color="auto"/>
        <w:left w:val="none" w:sz="0" w:space="0" w:color="auto"/>
        <w:bottom w:val="none" w:sz="0" w:space="0" w:color="auto"/>
        <w:right w:val="none" w:sz="0" w:space="0" w:color="auto"/>
      </w:divBdr>
    </w:div>
    <w:div w:id="126437297">
      <w:bodyDiv w:val="1"/>
      <w:marLeft w:val="0"/>
      <w:marRight w:val="0"/>
      <w:marTop w:val="0"/>
      <w:marBottom w:val="0"/>
      <w:divBdr>
        <w:top w:val="none" w:sz="0" w:space="0" w:color="auto"/>
        <w:left w:val="none" w:sz="0" w:space="0" w:color="auto"/>
        <w:bottom w:val="none" w:sz="0" w:space="0" w:color="auto"/>
        <w:right w:val="none" w:sz="0" w:space="0" w:color="auto"/>
      </w:divBdr>
    </w:div>
    <w:div w:id="131218890">
      <w:bodyDiv w:val="1"/>
      <w:marLeft w:val="0"/>
      <w:marRight w:val="0"/>
      <w:marTop w:val="0"/>
      <w:marBottom w:val="0"/>
      <w:divBdr>
        <w:top w:val="none" w:sz="0" w:space="0" w:color="auto"/>
        <w:left w:val="none" w:sz="0" w:space="0" w:color="auto"/>
        <w:bottom w:val="none" w:sz="0" w:space="0" w:color="auto"/>
        <w:right w:val="none" w:sz="0" w:space="0" w:color="auto"/>
      </w:divBdr>
    </w:div>
    <w:div w:id="134883812">
      <w:bodyDiv w:val="1"/>
      <w:marLeft w:val="0"/>
      <w:marRight w:val="0"/>
      <w:marTop w:val="0"/>
      <w:marBottom w:val="0"/>
      <w:divBdr>
        <w:top w:val="none" w:sz="0" w:space="0" w:color="auto"/>
        <w:left w:val="none" w:sz="0" w:space="0" w:color="auto"/>
        <w:bottom w:val="none" w:sz="0" w:space="0" w:color="auto"/>
        <w:right w:val="none" w:sz="0" w:space="0" w:color="auto"/>
      </w:divBdr>
    </w:div>
    <w:div w:id="137648504">
      <w:bodyDiv w:val="1"/>
      <w:marLeft w:val="0"/>
      <w:marRight w:val="0"/>
      <w:marTop w:val="0"/>
      <w:marBottom w:val="0"/>
      <w:divBdr>
        <w:top w:val="none" w:sz="0" w:space="0" w:color="auto"/>
        <w:left w:val="none" w:sz="0" w:space="0" w:color="auto"/>
        <w:bottom w:val="none" w:sz="0" w:space="0" w:color="auto"/>
        <w:right w:val="none" w:sz="0" w:space="0" w:color="auto"/>
      </w:divBdr>
    </w:div>
    <w:div w:id="142697407">
      <w:bodyDiv w:val="1"/>
      <w:marLeft w:val="0"/>
      <w:marRight w:val="0"/>
      <w:marTop w:val="0"/>
      <w:marBottom w:val="0"/>
      <w:divBdr>
        <w:top w:val="none" w:sz="0" w:space="0" w:color="auto"/>
        <w:left w:val="none" w:sz="0" w:space="0" w:color="auto"/>
        <w:bottom w:val="none" w:sz="0" w:space="0" w:color="auto"/>
        <w:right w:val="none" w:sz="0" w:space="0" w:color="auto"/>
      </w:divBdr>
    </w:div>
    <w:div w:id="148987795">
      <w:bodyDiv w:val="1"/>
      <w:marLeft w:val="0"/>
      <w:marRight w:val="0"/>
      <w:marTop w:val="0"/>
      <w:marBottom w:val="0"/>
      <w:divBdr>
        <w:top w:val="none" w:sz="0" w:space="0" w:color="auto"/>
        <w:left w:val="none" w:sz="0" w:space="0" w:color="auto"/>
        <w:bottom w:val="none" w:sz="0" w:space="0" w:color="auto"/>
        <w:right w:val="none" w:sz="0" w:space="0" w:color="auto"/>
      </w:divBdr>
      <w:divsChild>
        <w:div w:id="758596883">
          <w:marLeft w:val="0"/>
          <w:marRight w:val="0"/>
          <w:marTop w:val="0"/>
          <w:marBottom w:val="0"/>
          <w:divBdr>
            <w:top w:val="none" w:sz="0" w:space="0" w:color="auto"/>
            <w:left w:val="none" w:sz="0" w:space="0" w:color="auto"/>
            <w:bottom w:val="none" w:sz="0" w:space="0" w:color="auto"/>
            <w:right w:val="none" w:sz="0" w:space="0" w:color="auto"/>
          </w:divBdr>
        </w:div>
      </w:divsChild>
    </w:div>
    <w:div w:id="153958859">
      <w:bodyDiv w:val="1"/>
      <w:marLeft w:val="0"/>
      <w:marRight w:val="0"/>
      <w:marTop w:val="0"/>
      <w:marBottom w:val="0"/>
      <w:divBdr>
        <w:top w:val="none" w:sz="0" w:space="0" w:color="auto"/>
        <w:left w:val="none" w:sz="0" w:space="0" w:color="auto"/>
        <w:bottom w:val="none" w:sz="0" w:space="0" w:color="auto"/>
        <w:right w:val="none" w:sz="0" w:space="0" w:color="auto"/>
      </w:divBdr>
    </w:div>
    <w:div w:id="155995291">
      <w:bodyDiv w:val="1"/>
      <w:marLeft w:val="0"/>
      <w:marRight w:val="0"/>
      <w:marTop w:val="0"/>
      <w:marBottom w:val="0"/>
      <w:divBdr>
        <w:top w:val="none" w:sz="0" w:space="0" w:color="auto"/>
        <w:left w:val="none" w:sz="0" w:space="0" w:color="auto"/>
        <w:bottom w:val="none" w:sz="0" w:space="0" w:color="auto"/>
        <w:right w:val="none" w:sz="0" w:space="0" w:color="auto"/>
      </w:divBdr>
    </w:div>
    <w:div w:id="158081615">
      <w:bodyDiv w:val="1"/>
      <w:marLeft w:val="0"/>
      <w:marRight w:val="0"/>
      <w:marTop w:val="0"/>
      <w:marBottom w:val="0"/>
      <w:divBdr>
        <w:top w:val="none" w:sz="0" w:space="0" w:color="auto"/>
        <w:left w:val="none" w:sz="0" w:space="0" w:color="auto"/>
        <w:bottom w:val="none" w:sz="0" w:space="0" w:color="auto"/>
        <w:right w:val="none" w:sz="0" w:space="0" w:color="auto"/>
      </w:divBdr>
      <w:divsChild>
        <w:div w:id="851604195">
          <w:marLeft w:val="0"/>
          <w:marRight w:val="0"/>
          <w:marTop w:val="0"/>
          <w:marBottom w:val="0"/>
          <w:divBdr>
            <w:top w:val="none" w:sz="0" w:space="0" w:color="auto"/>
            <w:left w:val="none" w:sz="0" w:space="0" w:color="auto"/>
            <w:bottom w:val="none" w:sz="0" w:space="0" w:color="auto"/>
            <w:right w:val="none" w:sz="0" w:space="0" w:color="auto"/>
          </w:divBdr>
        </w:div>
      </w:divsChild>
    </w:div>
    <w:div w:id="163861494">
      <w:bodyDiv w:val="1"/>
      <w:marLeft w:val="0"/>
      <w:marRight w:val="0"/>
      <w:marTop w:val="0"/>
      <w:marBottom w:val="0"/>
      <w:divBdr>
        <w:top w:val="none" w:sz="0" w:space="0" w:color="auto"/>
        <w:left w:val="none" w:sz="0" w:space="0" w:color="auto"/>
        <w:bottom w:val="none" w:sz="0" w:space="0" w:color="auto"/>
        <w:right w:val="none" w:sz="0" w:space="0" w:color="auto"/>
      </w:divBdr>
    </w:div>
    <w:div w:id="169416693">
      <w:bodyDiv w:val="1"/>
      <w:marLeft w:val="0"/>
      <w:marRight w:val="0"/>
      <w:marTop w:val="0"/>
      <w:marBottom w:val="0"/>
      <w:divBdr>
        <w:top w:val="none" w:sz="0" w:space="0" w:color="auto"/>
        <w:left w:val="none" w:sz="0" w:space="0" w:color="auto"/>
        <w:bottom w:val="none" w:sz="0" w:space="0" w:color="auto"/>
        <w:right w:val="none" w:sz="0" w:space="0" w:color="auto"/>
      </w:divBdr>
    </w:div>
    <w:div w:id="170217570">
      <w:bodyDiv w:val="1"/>
      <w:marLeft w:val="0"/>
      <w:marRight w:val="0"/>
      <w:marTop w:val="0"/>
      <w:marBottom w:val="0"/>
      <w:divBdr>
        <w:top w:val="none" w:sz="0" w:space="0" w:color="auto"/>
        <w:left w:val="none" w:sz="0" w:space="0" w:color="auto"/>
        <w:bottom w:val="none" w:sz="0" w:space="0" w:color="auto"/>
        <w:right w:val="none" w:sz="0" w:space="0" w:color="auto"/>
      </w:divBdr>
    </w:div>
    <w:div w:id="177085208">
      <w:bodyDiv w:val="1"/>
      <w:marLeft w:val="0"/>
      <w:marRight w:val="0"/>
      <w:marTop w:val="0"/>
      <w:marBottom w:val="0"/>
      <w:divBdr>
        <w:top w:val="none" w:sz="0" w:space="0" w:color="auto"/>
        <w:left w:val="none" w:sz="0" w:space="0" w:color="auto"/>
        <w:bottom w:val="none" w:sz="0" w:space="0" w:color="auto"/>
        <w:right w:val="none" w:sz="0" w:space="0" w:color="auto"/>
      </w:divBdr>
    </w:div>
    <w:div w:id="177817926">
      <w:bodyDiv w:val="1"/>
      <w:marLeft w:val="0"/>
      <w:marRight w:val="0"/>
      <w:marTop w:val="0"/>
      <w:marBottom w:val="0"/>
      <w:divBdr>
        <w:top w:val="none" w:sz="0" w:space="0" w:color="auto"/>
        <w:left w:val="none" w:sz="0" w:space="0" w:color="auto"/>
        <w:bottom w:val="none" w:sz="0" w:space="0" w:color="auto"/>
        <w:right w:val="none" w:sz="0" w:space="0" w:color="auto"/>
      </w:divBdr>
    </w:div>
    <w:div w:id="178198089">
      <w:bodyDiv w:val="1"/>
      <w:marLeft w:val="0"/>
      <w:marRight w:val="0"/>
      <w:marTop w:val="0"/>
      <w:marBottom w:val="0"/>
      <w:divBdr>
        <w:top w:val="none" w:sz="0" w:space="0" w:color="auto"/>
        <w:left w:val="none" w:sz="0" w:space="0" w:color="auto"/>
        <w:bottom w:val="none" w:sz="0" w:space="0" w:color="auto"/>
        <w:right w:val="none" w:sz="0" w:space="0" w:color="auto"/>
      </w:divBdr>
    </w:div>
    <w:div w:id="200676534">
      <w:bodyDiv w:val="1"/>
      <w:marLeft w:val="0"/>
      <w:marRight w:val="0"/>
      <w:marTop w:val="0"/>
      <w:marBottom w:val="0"/>
      <w:divBdr>
        <w:top w:val="none" w:sz="0" w:space="0" w:color="auto"/>
        <w:left w:val="none" w:sz="0" w:space="0" w:color="auto"/>
        <w:bottom w:val="none" w:sz="0" w:space="0" w:color="auto"/>
        <w:right w:val="none" w:sz="0" w:space="0" w:color="auto"/>
      </w:divBdr>
    </w:div>
    <w:div w:id="204486724">
      <w:bodyDiv w:val="1"/>
      <w:marLeft w:val="0"/>
      <w:marRight w:val="0"/>
      <w:marTop w:val="0"/>
      <w:marBottom w:val="0"/>
      <w:divBdr>
        <w:top w:val="none" w:sz="0" w:space="0" w:color="auto"/>
        <w:left w:val="none" w:sz="0" w:space="0" w:color="auto"/>
        <w:bottom w:val="none" w:sz="0" w:space="0" w:color="auto"/>
        <w:right w:val="none" w:sz="0" w:space="0" w:color="auto"/>
      </w:divBdr>
      <w:divsChild>
        <w:div w:id="1246838108">
          <w:marLeft w:val="0"/>
          <w:marRight w:val="0"/>
          <w:marTop w:val="0"/>
          <w:marBottom w:val="0"/>
          <w:divBdr>
            <w:top w:val="none" w:sz="0" w:space="0" w:color="auto"/>
            <w:left w:val="none" w:sz="0" w:space="0" w:color="auto"/>
            <w:bottom w:val="none" w:sz="0" w:space="0" w:color="auto"/>
            <w:right w:val="none" w:sz="0" w:space="0" w:color="auto"/>
          </w:divBdr>
        </w:div>
      </w:divsChild>
    </w:div>
    <w:div w:id="208029396">
      <w:bodyDiv w:val="1"/>
      <w:marLeft w:val="0"/>
      <w:marRight w:val="0"/>
      <w:marTop w:val="0"/>
      <w:marBottom w:val="0"/>
      <w:divBdr>
        <w:top w:val="none" w:sz="0" w:space="0" w:color="auto"/>
        <w:left w:val="none" w:sz="0" w:space="0" w:color="auto"/>
        <w:bottom w:val="none" w:sz="0" w:space="0" w:color="auto"/>
        <w:right w:val="none" w:sz="0" w:space="0" w:color="auto"/>
      </w:divBdr>
    </w:div>
    <w:div w:id="208884446">
      <w:bodyDiv w:val="1"/>
      <w:marLeft w:val="0"/>
      <w:marRight w:val="0"/>
      <w:marTop w:val="0"/>
      <w:marBottom w:val="0"/>
      <w:divBdr>
        <w:top w:val="none" w:sz="0" w:space="0" w:color="auto"/>
        <w:left w:val="none" w:sz="0" w:space="0" w:color="auto"/>
        <w:bottom w:val="none" w:sz="0" w:space="0" w:color="auto"/>
        <w:right w:val="none" w:sz="0" w:space="0" w:color="auto"/>
      </w:divBdr>
      <w:divsChild>
        <w:div w:id="580919071">
          <w:marLeft w:val="0"/>
          <w:marRight w:val="0"/>
          <w:marTop w:val="0"/>
          <w:marBottom w:val="0"/>
          <w:divBdr>
            <w:top w:val="none" w:sz="0" w:space="0" w:color="auto"/>
            <w:left w:val="none" w:sz="0" w:space="0" w:color="auto"/>
            <w:bottom w:val="none" w:sz="0" w:space="0" w:color="auto"/>
            <w:right w:val="none" w:sz="0" w:space="0" w:color="auto"/>
          </w:divBdr>
          <w:divsChild>
            <w:div w:id="16323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5939">
      <w:bodyDiv w:val="1"/>
      <w:marLeft w:val="0"/>
      <w:marRight w:val="0"/>
      <w:marTop w:val="0"/>
      <w:marBottom w:val="0"/>
      <w:divBdr>
        <w:top w:val="none" w:sz="0" w:space="0" w:color="auto"/>
        <w:left w:val="none" w:sz="0" w:space="0" w:color="auto"/>
        <w:bottom w:val="none" w:sz="0" w:space="0" w:color="auto"/>
        <w:right w:val="none" w:sz="0" w:space="0" w:color="auto"/>
      </w:divBdr>
    </w:div>
    <w:div w:id="213084165">
      <w:bodyDiv w:val="1"/>
      <w:marLeft w:val="0"/>
      <w:marRight w:val="0"/>
      <w:marTop w:val="0"/>
      <w:marBottom w:val="0"/>
      <w:divBdr>
        <w:top w:val="none" w:sz="0" w:space="0" w:color="auto"/>
        <w:left w:val="none" w:sz="0" w:space="0" w:color="auto"/>
        <w:bottom w:val="none" w:sz="0" w:space="0" w:color="auto"/>
        <w:right w:val="none" w:sz="0" w:space="0" w:color="auto"/>
      </w:divBdr>
    </w:div>
    <w:div w:id="216285060">
      <w:bodyDiv w:val="1"/>
      <w:marLeft w:val="0"/>
      <w:marRight w:val="0"/>
      <w:marTop w:val="0"/>
      <w:marBottom w:val="0"/>
      <w:divBdr>
        <w:top w:val="none" w:sz="0" w:space="0" w:color="auto"/>
        <w:left w:val="none" w:sz="0" w:space="0" w:color="auto"/>
        <w:bottom w:val="none" w:sz="0" w:space="0" w:color="auto"/>
        <w:right w:val="none" w:sz="0" w:space="0" w:color="auto"/>
      </w:divBdr>
    </w:div>
    <w:div w:id="227114596">
      <w:bodyDiv w:val="1"/>
      <w:marLeft w:val="0"/>
      <w:marRight w:val="0"/>
      <w:marTop w:val="0"/>
      <w:marBottom w:val="0"/>
      <w:divBdr>
        <w:top w:val="none" w:sz="0" w:space="0" w:color="auto"/>
        <w:left w:val="none" w:sz="0" w:space="0" w:color="auto"/>
        <w:bottom w:val="none" w:sz="0" w:space="0" w:color="auto"/>
        <w:right w:val="none" w:sz="0" w:space="0" w:color="auto"/>
      </w:divBdr>
    </w:div>
    <w:div w:id="234358079">
      <w:bodyDiv w:val="1"/>
      <w:marLeft w:val="0"/>
      <w:marRight w:val="0"/>
      <w:marTop w:val="0"/>
      <w:marBottom w:val="0"/>
      <w:divBdr>
        <w:top w:val="none" w:sz="0" w:space="0" w:color="auto"/>
        <w:left w:val="none" w:sz="0" w:space="0" w:color="auto"/>
        <w:bottom w:val="none" w:sz="0" w:space="0" w:color="auto"/>
        <w:right w:val="none" w:sz="0" w:space="0" w:color="auto"/>
      </w:divBdr>
    </w:div>
    <w:div w:id="249703994">
      <w:bodyDiv w:val="1"/>
      <w:marLeft w:val="0"/>
      <w:marRight w:val="0"/>
      <w:marTop w:val="0"/>
      <w:marBottom w:val="0"/>
      <w:divBdr>
        <w:top w:val="none" w:sz="0" w:space="0" w:color="auto"/>
        <w:left w:val="none" w:sz="0" w:space="0" w:color="auto"/>
        <w:bottom w:val="none" w:sz="0" w:space="0" w:color="auto"/>
        <w:right w:val="none" w:sz="0" w:space="0" w:color="auto"/>
      </w:divBdr>
    </w:div>
    <w:div w:id="252596407">
      <w:bodyDiv w:val="1"/>
      <w:marLeft w:val="0"/>
      <w:marRight w:val="0"/>
      <w:marTop w:val="0"/>
      <w:marBottom w:val="0"/>
      <w:divBdr>
        <w:top w:val="none" w:sz="0" w:space="0" w:color="auto"/>
        <w:left w:val="none" w:sz="0" w:space="0" w:color="auto"/>
        <w:bottom w:val="none" w:sz="0" w:space="0" w:color="auto"/>
        <w:right w:val="none" w:sz="0" w:space="0" w:color="auto"/>
      </w:divBdr>
    </w:div>
    <w:div w:id="262421074">
      <w:bodyDiv w:val="1"/>
      <w:marLeft w:val="0"/>
      <w:marRight w:val="0"/>
      <w:marTop w:val="0"/>
      <w:marBottom w:val="0"/>
      <w:divBdr>
        <w:top w:val="none" w:sz="0" w:space="0" w:color="auto"/>
        <w:left w:val="none" w:sz="0" w:space="0" w:color="auto"/>
        <w:bottom w:val="none" w:sz="0" w:space="0" w:color="auto"/>
        <w:right w:val="none" w:sz="0" w:space="0" w:color="auto"/>
      </w:divBdr>
    </w:div>
    <w:div w:id="267661556">
      <w:bodyDiv w:val="1"/>
      <w:marLeft w:val="0"/>
      <w:marRight w:val="0"/>
      <w:marTop w:val="0"/>
      <w:marBottom w:val="0"/>
      <w:divBdr>
        <w:top w:val="none" w:sz="0" w:space="0" w:color="auto"/>
        <w:left w:val="none" w:sz="0" w:space="0" w:color="auto"/>
        <w:bottom w:val="none" w:sz="0" w:space="0" w:color="auto"/>
        <w:right w:val="none" w:sz="0" w:space="0" w:color="auto"/>
      </w:divBdr>
    </w:div>
    <w:div w:id="278611382">
      <w:bodyDiv w:val="1"/>
      <w:marLeft w:val="0"/>
      <w:marRight w:val="0"/>
      <w:marTop w:val="0"/>
      <w:marBottom w:val="0"/>
      <w:divBdr>
        <w:top w:val="none" w:sz="0" w:space="0" w:color="auto"/>
        <w:left w:val="none" w:sz="0" w:space="0" w:color="auto"/>
        <w:bottom w:val="none" w:sz="0" w:space="0" w:color="auto"/>
        <w:right w:val="none" w:sz="0" w:space="0" w:color="auto"/>
      </w:divBdr>
    </w:div>
    <w:div w:id="285888277">
      <w:bodyDiv w:val="1"/>
      <w:marLeft w:val="0"/>
      <w:marRight w:val="0"/>
      <w:marTop w:val="0"/>
      <w:marBottom w:val="0"/>
      <w:divBdr>
        <w:top w:val="none" w:sz="0" w:space="0" w:color="auto"/>
        <w:left w:val="none" w:sz="0" w:space="0" w:color="auto"/>
        <w:bottom w:val="none" w:sz="0" w:space="0" w:color="auto"/>
        <w:right w:val="none" w:sz="0" w:space="0" w:color="auto"/>
      </w:divBdr>
    </w:div>
    <w:div w:id="300817626">
      <w:bodyDiv w:val="1"/>
      <w:marLeft w:val="0"/>
      <w:marRight w:val="0"/>
      <w:marTop w:val="0"/>
      <w:marBottom w:val="0"/>
      <w:divBdr>
        <w:top w:val="none" w:sz="0" w:space="0" w:color="auto"/>
        <w:left w:val="none" w:sz="0" w:space="0" w:color="auto"/>
        <w:bottom w:val="none" w:sz="0" w:space="0" w:color="auto"/>
        <w:right w:val="none" w:sz="0" w:space="0" w:color="auto"/>
      </w:divBdr>
    </w:div>
    <w:div w:id="304354620">
      <w:bodyDiv w:val="1"/>
      <w:marLeft w:val="0"/>
      <w:marRight w:val="0"/>
      <w:marTop w:val="0"/>
      <w:marBottom w:val="0"/>
      <w:divBdr>
        <w:top w:val="none" w:sz="0" w:space="0" w:color="auto"/>
        <w:left w:val="none" w:sz="0" w:space="0" w:color="auto"/>
        <w:bottom w:val="none" w:sz="0" w:space="0" w:color="auto"/>
        <w:right w:val="none" w:sz="0" w:space="0" w:color="auto"/>
      </w:divBdr>
    </w:div>
    <w:div w:id="316958074">
      <w:bodyDiv w:val="1"/>
      <w:marLeft w:val="0"/>
      <w:marRight w:val="0"/>
      <w:marTop w:val="0"/>
      <w:marBottom w:val="0"/>
      <w:divBdr>
        <w:top w:val="none" w:sz="0" w:space="0" w:color="auto"/>
        <w:left w:val="none" w:sz="0" w:space="0" w:color="auto"/>
        <w:bottom w:val="none" w:sz="0" w:space="0" w:color="auto"/>
        <w:right w:val="none" w:sz="0" w:space="0" w:color="auto"/>
      </w:divBdr>
    </w:div>
    <w:div w:id="328293420">
      <w:bodyDiv w:val="1"/>
      <w:marLeft w:val="0"/>
      <w:marRight w:val="0"/>
      <w:marTop w:val="0"/>
      <w:marBottom w:val="0"/>
      <w:divBdr>
        <w:top w:val="none" w:sz="0" w:space="0" w:color="auto"/>
        <w:left w:val="none" w:sz="0" w:space="0" w:color="auto"/>
        <w:bottom w:val="none" w:sz="0" w:space="0" w:color="auto"/>
        <w:right w:val="none" w:sz="0" w:space="0" w:color="auto"/>
      </w:divBdr>
    </w:div>
    <w:div w:id="332417497">
      <w:bodyDiv w:val="1"/>
      <w:marLeft w:val="0"/>
      <w:marRight w:val="0"/>
      <w:marTop w:val="0"/>
      <w:marBottom w:val="0"/>
      <w:divBdr>
        <w:top w:val="none" w:sz="0" w:space="0" w:color="auto"/>
        <w:left w:val="none" w:sz="0" w:space="0" w:color="auto"/>
        <w:bottom w:val="none" w:sz="0" w:space="0" w:color="auto"/>
        <w:right w:val="none" w:sz="0" w:space="0" w:color="auto"/>
      </w:divBdr>
    </w:div>
    <w:div w:id="334069339">
      <w:bodyDiv w:val="1"/>
      <w:marLeft w:val="0"/>
      <w:marRight w:val="0"/>
      <w:marTop w:val="0"/>
      <w:marBottom w:val="0"/>
      <w:divBdr>
        <w:top w:val="none" w:sz="0" w:space="0" w:color="auto"/>
        <w:left w:val="none" w:sz="0" w:space="0" w:color="auto"/>
        <w:bottom w:val="none" w:sz="0" w:space="0" w:color="auto"/>
        <w:right w:val="none" w:sz="0" w:space="0" w:color="auto"/>
      </w:divBdr>
    </w:div>
    <w:div w:id="334115108">
      <w:bodyDiv w:val="1"/>
      <w:marLeft w:val="0"/>
      <w:marRight w:val="0"/>
      <w:marTop w:val="0"/>
      <w:marBottom w:val="0"/>
      <w:divBdr>
        <w:top w:val="none" w:sz="0" w:space="0" w:color="auto"/>
        <w:left w:val="none" w:sz="0" w:space="0" w:color="auto"/>
        <w:bottom w:val="none" w:sz="0" w:space="0" w:color="auto"/>
        <w:right w:val="none" w:sz="0" w:space="0" w:color="auto"/>
      </w:divBdr>
    </w:div>
    <w:div w:id="344212619">
      <w:bodyDiv w:val="1"/>
      <w:marLeft w:val="0"/>
      <w:marRight w:val="0"/>
      <w:marTop w:val="0"/>
      <w:marBottom w:val="0"/>
      <w:divBdr>
        <w:top w:val="none" w:sz="0" w:space="0" w:color="auto"/>
        <w:left w:val="none" w:sz="0" w:space="0" w:color="auto"/>
        <w:bottom w:val="none" w:sz="0" w:space="0" w:color="auto"/>
        <w:right w:val="none" w:sz="0" w:space="0" w:color="auto"/>
      </w:divBdr>
    </w:div>
    <w:div w:id="353657215">
      <w:bodyDiv w:val="1"/>
      <w:marLeft w:val="0"/>
      <w:marRight w:val="0"/>
      <w:marTop w:val="0"/>
      <w:marBottom w:val="0"/>
      <w:divBdr>
        <w:top w:val="none" w:sz="0" w:space="0" w:color="auto"/>
        <w:left w:val="none" w:sz="0" w:space="0" w:color="auto"/>
        <w:bottom w:val="none" w:sz="0" w:space="0" w:color="auto"/>
        <w:right w:val="none" w:sz="0" w:space="0" w:color="auto"/>
      </w:divBdr>
    </w:div>
    <w:div w:id="353775920">
      <w:bodyDiv w:val="1"/>
      <w:marLeft w:val="0"/>
      <w:marRight w:val="0"/>
      <w:marTop w:val="0"/>
      <w:marBottom w:val="0"/>
      <w:divBdr>
        <w:top w:val="none" w:sz="0" w:space="0" w:color="auto"/>
        <w:left w:val="none" w:sz="0" w:space="0" w:color="auto"/>
        <w:bottom w:val="none" w:sz="0" w:space="0" w:color="auto"/>
        <w:right w:val="none" w:sz="0" w:space="0" w:color="auto"/>
      </w:divBdr>
    </w:div>
    <w:div w:id="359284998">
      <w:bodyDiv w:val="1"/>
      <w:marLeft w:val="0"/>
      <w:marRight w:val="0"/>
      <w:marTop w:val="0"/>
      <w:marBottom w:val="0"/>
      <w:divBdr>
        <w:top w:val="none" w:sz="0" w:space="0" w:color="auto"/>
        <w:left w:val="none" w:sz="0" w:space="0" w:color="auto"/>
        <w:bottom w:val="none" w:sz="0" w:space="0" w:color="auto"/>
        <w:right w:val="none" w:sz="0" w:space="0" w:color="auto"/>
      </w:divBdr>
    </w:div>
    <w:div w:id="368384260">
      <w:bodyDiv w:val="1"/>
      <w:marLeft w:val="0"/>
      <w:marRight w:val="0"/>
      <w:marTop w:val="0"/>
      <w:marBottom w:val="0"/>
      <w:divBdr>
        <w:top w:val="none" w:sz="0" w:space="0" w:color="auto"/>
        <w:left w:val="none" w:sz="0" w:space="0" w:color="auto"/>
        <w:bottom w:val="none" w:sz="0" w:space="0" w:color="auto"/>
        <w:right w:val="none" w:sz="0" w:space="0" w:color="auto"/>
      </w:divBdr>
      <w:divsChild>
        <w:div w:id="411392998">
          <w:marLeft w:val="0"/>
          <w:marRight w:val="0"/>
          <w:marTop w:val="0"/>
          <w:marBottom w:val="0"/>
          <w:divBdr>
            <w:top w:val="none" w:sz="0" w:space="0" w:color="auto"/>
            <w:left w:val="none" w:sz="0" w:space="0" w:color="auto"/>
            <w:bottom w:val="none" w:sz="0" w:space="0" w:color="auto"/>
            <w:right w:val="none" w:sz="0" w:space="0" w:color="auto"/>
          </w:divBdr>
        </w:div>
        <w:div w:id="777606796">
          <w:marLeft w:val="0"/>
          <w:marRight w:val="0"/>
          <w:marTop w:val="0"/>
          <w:marBottom w:val="0"/>
          <w:divBdr>
            <w:top w:val="none" w:sz="0" w:space="0" w:color="auto"/>
            <w:left w:val="none" w:sz="0" w:space="0" w:color="auto"/>
            <w:bottom w:val="none" w:sz="0" w:space="0" w:color="auto"/>
            <w:right w:val="none" w:sz="0" w:space="0" w:color="auto"/>
          </w:divBdr>
        </w:div>
        <w:div w:id="852764402">
          <w:marLeft w:val="0"/>
          <w:marRight w:val="0"/>
          <w:marTop w:val="0"/>
          <w:marBottom w:val="0"/>
          <w:divBdr>
            <w:top w:val="none" w:sz="0" w:space="0" w:color="auto"/>
            <w:left w:val="none" w:sz="0" w:space="0" w:color="auto"/>
            <w:bottom w:val="none" w:sz="0" w:space="0" w:color="auto"/>
            <w:right w:val="none" w:sz="0" w:space="0" w:color="auto"/>
          </w:divBdr>
        </w:div>
        <w:div w:id="1725523509">
          <w:marLeft w:val="0"/>
          <w:marRight w:val="0"/>
          <w:marTop w:val="0"/>
          <w:marBottom w:val="0"/>
          <w:divBdr>
            <w:top w:val="none" w:sz="0" w:space="0" w:color="auto"/>
            <w:left w:val="none" w:sz="0" w:space="0" w:color="auto"/>
            <w:bottom w:val="none" w:sz="0" w:space="0" w:color="auto"/>
            <w:right w:val="none" w:sz="0" w:space="0" w:color="auto"/>
          </w:divBdr>
        </w:div>
        <w:div w:id="1807426934">
          <w:marLeft w:val="0"/>
          <w:marRight w:val="0"/>
          <w:marTop w:val="0"/>
          <w:marBottom w:val="0"/>
          <w:divBdr>
            <w:top w:val="none" w:sz="0" w:space="0" w:color="auto"/>
            <w:left w:val="none" w:sz="0" w:space="0" w:color="auto"/>
            <w:bottom w:val="none" w:sz="0" w:space="0" w:color="auto"/>
            <w:right w:val="none" w:sz="0" w:space="0" w:color="auto"/>
          </w:divBdr>
        </w:div>
      </w:divsChild>
    </w:div>
    <w:div w:id="386690052">
      <w:bodyDiv w:val="1"/>
      <w:marLeft w:val="0"/>
      <w:marRight w:val="0"/>
      <w:marTop w:val="0"/>
      <w:marBottom w:val="0"/>
      <w:divBdr>
        <w:top w:val="none" w:sz="0" w:space="0" w:color="auto"/>
        <w:left w:val="none" w:sz="0" w:space="0" w:color="auto"/>
        <w:bottom w:val="none" w:sz="0" w:space="0" w:color="auto"/>
        <w:right w:val="none" w:sz="0" w:space="0" w:color="auto"/>
      </w:divBdr>
    </w:div>
    <w:div w:id="389840003">
      <w:bodyDiv w:val="1"/>
      <w:marLeft w:val="0"/>
      <w:marRight w:val="0"/>
      <w:marTop w:val="0"/>
      <w:marBottom w:val="0"/>
      <w:divBdr>
        <w:top w:val="none" w:sz="0" w:space="0" w:color="auto"/>
        <w:left w:val="none" w:sz="0" w:space="0" w:color="auto"/>
        <w:bottom w:val="none" w:sz="0" w:space="0" w:color="auto"/>
        <w:right w:val="none" w:sz="0" w:space="0" w:color="auto"/>
      </w:divBdr>
    </w:div>
    <w:div w:id="393820209">
      <w:bodyDiv w:val="1"/>
      <w:marLeft w:val="0"/>
      <w:marRight w:val="0"/>
      <w:marTop w:val="0"/>
      <w:marBottom w:val="0"/>
      <w:divBdr>
        <w:top w:val="none" w:sz="0" w:space="0" w:color="auto"/>
        <w:left w:val="none" w:sz="0" w:space="0" w:color="auto"/>
        <w:bottom w:val="none" w:sz="0" w:space="0" w:color="auto"/>
        <w:right w:val="none" w:sz="0" w:space="0" w:color="auto"/>
      </w:divBdr>
    </w:div>
    <w:div w:id="410931438">
      <w:bodyDiv w:val="1"/>
      <w:marLeft w:val="0"/>
      <w:marRight w:val="0"/>
      <w:marTop w:val="0"/>
      <w:marBottom w:val="0"/>
      <w:divBdr>
        <w:top w:val="none" w:sz="0" w:space="0" w:color="auto"/>
        <w:left w:val="none" w:sz="0" w:space="0" w:color="auto"/>
        <w:bottom w:val="none" w:sz="0" w:space="0" w:color="auto"/>
        <w:right w:val="none" w:sz="0" w:space="0" w:color="auto"/>
      </w:divBdr>
    </w:div>
    <w:div w:id="421533070">
      <w:bodyDiv w:val="1"/>
      <w:marLeft w:val="0"/>
      <w:marRight w:val="0"/>
      <w:marTop w:val="0"/>
      <w:marBottom w:val="0"/>
      <w:divBdr>
        <w:top w:val="none" w:sz="0" w:space="0" w:color="auto"/>
        <w:left w:val="none" w:sz="0" w:space="0" w:color="auto"/>
        <w:bottom w:val="none" w:sz="0" w:space="0" w:color="auto"/>
        <w:right w:val="none" w:sz="0" w:space="0" w:color="auto"/>
      </w:divBdr>
    </w:div>
    <w:div w:id="423454122">
      <w:bodyDiv w:val="1"/>
      <w:marLeft w:val="0"/>
      <w:marRight w:val="0"/>
      <w:marTop w:val="0"/>
      <w:marBottom w:val="0"/>
      <w:divBdr>
        <w:top w:val="none" w:sz="0" w:space="0" w:color="auto"/>
        <w:left w:val="none" w:sz="0" w:space="0" w:color="auto"/>
        <w:bottom w:val="none" w:sz="0" w:space="0" w:color="auto"/>
        <w:right w:val="none" w:sz="0" w:space="0" w:color="auto"/>
      </w:divBdr>
    </w:div>
    <w:div w:id="430515703">
      <w:bodyDiv w:val="1"/>
      <w:marLeft w:val="0"/>
      <w:marRight w:val="0"/>
      <w:marTop w:val="0"/>
      <w:marBottom w:val="0"/>
      <w:divBdr>
        <w:top w:val="none" w:sz="0" w:space="0" w:color="auto"/>
        <w:left w:val="none" w:sz="0" w:space="0" w:color="auto"/>
        <w:bottom w:val="none" w:sz="0" w:space="0" w:color="auto"/>
        <w:right w:val="none" w:sz="0" w:space="0" w:color="auto"/>
      </w:divBdr>
    </w:div>
    <w:div w:id="441345043">
      <w:bodyDiv w:val="1"/>
      <w:marLeft w:val="0"/>
      <w:marRight w:val="0"/>
      <w:marTop w:val="0"/>
      <w:marBottom w:val="0"/>
      <w:divBdr>
        <w:top w:val="none" w:sz="0" w:space="0" w:color="auto"/>
        <w:left w:val="none" w:sz="0" w:space="0" w:color="auto"/>
        <w:bottom w:val="none" w:sz="0" w:space="0" w:color="auto"/>
        <w:right w:val="none" w:sz="0" w:space="0" w:color="auto"/>
      </w:divBdr>
      <w:divsChild>
        <w:div w:id="1134059834">
          <w:marLeft w:val="0"/>
          <w:marRight w:val="0"/>
          <w:marTop w:val="0"/>
          <w:marBottom w:val="0"/>
          <w:divBdr>
            <w:top w:val="none" w:sz="0" w:space="0" w:color="auto"/>
            <w:left w:val="none" w:sz="0" w:space="0" w:color="auto"/>
            <w:bottom w:val="none" w:sz="0" w:space="0" w:color="auto"/>
            <w:right w:val="none" w:sz="0" w:space="0" w:color="auto"/>
          </w:divBdr>
          <w:divsChild>
            <w:div w:id="6585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6484">
      <w:bodyDiv w:val="1"/>
      <w:marLeft w:val="0"/>
      <w:marRight w:val="0"/>
      <w:marTop w:val="0"/>
      <w:marBottom w:val="0"/>
      <w:divBdr>
        <w:top w:val="none" w:sz="0" w:space="0" w:color="auto"/>
        <w:left w:val="none" w:sz="0" w:space="0" w:color="auto"/>
        <w:bottom w:val="none" w:sz="0" w:space="0" w:color="auto"/>
        <w:right w:val="none" w:sz="0" w:space="0" w:color="auto"/>
      </w:divBdr>
    </w:div>
    <w:div w:id="443548391">
      <w:bodyDiv w:val="1"/>
      <w:marLeft w:val="0"/>
      <w:marRight w:val="0"/>
      <w:marTop w:val="0"/>
      <w:marBottom w:val="0"/>
      <w:divBdr>
        <w:top w:val="none" w:sz="0" w:space="0" w:color="auto"/>
        <w:left w:val="none" w:sz="0" w:space="0" w:color="auto"/>
        <w:bottom w:val="none" w:sz="0" w:space="0" w:color="auto"/>
        <w:right w:val="none" w:sz="0" w:space="0" w:color="auto"/>
      </w:divBdr>
    </w:div>
    <w:div w:id="449514729">
      <w:bodyDiv w:val="1"/>
      <w:marLeft w:val="0"/>
      <w:marRight w:val="0"/>
      <w:marTop w:val="0"/>
      <w:marBottom w:val="0"/>
      <w:divBdr>
        <w:top w:val="none" w:sz="0" w:space="0" w:color="auto"/>
        <w:left w:val="none" w:sz="0" w:space="0" w:color="auto"/>
        <w:bottom w:val="none" w:sz="0" w:space="0" w:color="auto"/>
        <w:right w:val="none" w:sz="0" w:space="0" w:color="auto"/>
      </w:divBdr>
    </w:div>
    <w:div w:id="451051347">
      <w:bodyDiv w:val="1"/>
      <w:marLeft w:val="0"/>
      <w:marRight w:val="0"/>
      <w:marTop w:val="0"/>
      <w:marBottom w:val="0"/>
      <w:divBdr>
        <w:top w:val="none" w:sz="0" w:space="0" w:color="auto"/>
        <w:left w:val="none" w:sz="0" w:space="0" w:color="auto"/>
        <w:bottom w:val="none" w:sz="0" w:space="0" w:color="auto"/>
        <w:right w:val="none" w:sz="0" w:space="0" w:color="auto"/>
      </w:divBdr>
    </w:div>
    <w:div w:id="451630423">
      <w:bodyDiv w:val="1"/>
      <w:marLeft w:val="0"/>
      <w:marRight w:val="0"/>
      <w:marTop w:val="0"/>
      <w:marBottom w:val="0"/>
      <w:divBdr>
        <w:top w:val="none" w:sz="0" w:space="0" w:color="auto"/>
        <w:left w:val="none" w:sz="0" w:space="0" w:color="auto"/>
        <w:bottom w:val="none" w:sz="0" w:space="0" w:color="auto"/>
        <w:right w:val="none" w:sz="0" w:space="0" w:color="auto"/>
      </w:divBdr>
    </w:div>
    <w:div w:id="454326150">
      <w:bodyDiv w:val="1"/>
      <w:marLeft w:val="0"/>
      <w:marRight w:val="0"/>
      <w:marTop w:val="0"/>
      <w:marBottom w:val="0"/>
      <w:divBdr>
        <w:top w:val="none" w:sz="0" w:space="0" w:color="auto"/>
        <w:left w:val="none" w:sz="0" w:space="0" w:color="auto"/>
        <w:bottom w:val="none" w:sz="0" w:space="0" w:color="auto"/>
        <w:right w:val="none" w:sz="0" w:space="0" w:color="auto"/>
      </w:divBdr>
    </w:div>
    <w:div w:id="456604868">
      <w:bodyDiv w:val="1"/>
      <w:marLeft w:val="0"/>
      <w:marRight w:val="0"/>
      <w:marTop w:val="0"/>
      <w:marBottom w:val="0"/>
      <w:divBdr>
        <w:top w:val="none" w:sz="0" w:space="0" w:color="auto"/>
        <w:left w:val="none" w:sz="0" w:space="0" w:color="auto"/>
        <w:bottom w:val="none" w:sz="0" w:space="0" w:color="auto"/>
        <w:right w:val="none" w:sz="0" w:space="0" w:color="auto"/>
      </w:divBdr>
    </w:div>
    <w:div w:id="461580037">
      <w:bodyDiv w:val="1"/>
      <w:marLeft w:val="0"/>
      <w:marRight w:val="0"/>
      <w:marTop w:val="0"/>
      <w:marBottom w:val="0"/>
      <w:divBdr>
        <w:top w:val="none" w:sz="0" w:space="0" w:color="auto"/>
        <w:left w:val="none" w:sz="0" w:space="0" w:color="auto"/>
        <w:bottom w:val="none" w:sz="0" w:space="0" w:color="auto"/>
        <w:right w:val="none" w:sz="0" w:space="0" w:color="auto"/>
      </w:divBdr>
    </w:div>
    <w:div w:id="468745650">
      <w:bodyDiv w:val="1"/>
      <w:marLeft w:val="0"/>
      <w:marRight w:val="0"/>
      <w:marTop w:val="0"/>
      <w:marBottom w:val="0"/>
      <w:divBdr>
        <w:top w:val="none" w:sz="0" w:space="0" w:color="auto"/>
        <w:left w:val="none" w:sz="0" w:space="0" w:color="auto"/>
        <w:bottom w:val="none" w:sz="0" w:space="0" w:color="auto"/>
        <w:right w:val="none" w:sz="0" w:space="0" w:color="auto"/>
      </w:divBdr>
    </w:div>
    <w:div w:id="476335252">
      <w:bodyDiv w:val="1"/>
      <w:marLeft w:val="0"/>
      <w:marRight w:val="0"/>
      <w:marTop w:val="0"/>
      <w:marBottom w:val="0"/>
      <w:divBdr>
        <w:top w:val="none" w:sz="0" w:space="0" w:color="auto"/>
        <w:left w:val="none" w:sz="0" w:space="0" w:color="auto"/>
        <w:bottom w:val="none" w:sz="0" w:space="0" w:color="auto"/>
        <w:right w:val="none" w:sz="0" w:space="0" w:color="auto"/>
      </w:divBdr>
    </w:div>
    <w:div w:id="476646522">
      <w:bodyDiv w:val="1"/>
      <w:marLeft w:val="0"/>
      <w:marRight w:val="0"/>
      <w:marTop w:val="0"/>
      <w:marBottom w:val="0"/>
      <w:divBdr>
        <w:top w:val="none" w:sz="0" w:space="0" w:color="auto"/>
        <w:left w:val="none" w:sz="0" w:space="0" w:color="auto"/>
        <w:bottom w:val="none" w:sz="0" w:space="0" w:color="auto"/>
        <w:right w:val="none" w:sz="0" w:space="0" w:color="auto"/>
      </w:divBdr>
    </w:div>
    <w:div w:id="477108771">
      <w:bodyDiv w:val="1"/>
      <w:marLeft w:val="0"/>
      <w:marRight w:val="0"/>
      <w:marTop w:val="0"/>
      <w:marBottom w:val="0"/>
      <w:divBdr>
        <w:top w:val="none" w:sz="0" w:space="0" w:color="auto"/>
        <w:left w:val="none" w:sz="0" w:space="0" w:color="auto"/>
        <w:bottom w:val="none" w:sz="0" w:space="0" w:color="auto"/>
        <w:right w:val="none" w:sz="0" w:space="0" w:color="auto"/>
      </w:divBdr>
    </w:div>
    <w:div w:id="478763175">
      <w:bodyDiv w:val="1"/>
      <w:marLeft w:val="0"/>
      <w:marRight w:val="0"/>
      <w:marTop w:val="0"/>
      <w:marBottom w:val="0"/>
      <w:divBdr>
        <w:top w:val="none" w:sz="0" w:space="0" w:color="auto"/>
        <w:left w:val="none" w:sz="0" w:space="0" w:color="auto"/>
        <w:bottom w:val="none" w:sz="0" w:space="0" w:color="auto"/>
        <w:right w:val="none" w:sz="0" w:space="0" w:color="auto"/>
      </w:divBdr>
      <w:divsChild>
        <w:div w:id="1538352299">
          <w:marLeft w:val="0"/>
          <w:marRight w:val="0"/>
          <w:marTop w:val="0"/>
          <w:marBottom w:val="0"/>
          <w:divBdr>
            <w:top w:val="none" w:sz="0" w:space="0" w:color="auto"/>
            <w:left w:val="none" w:sz="0" w:space="0" w:color="auto"/>
            <w:bottom w:val="none" w:sz="0" w:space="0" w:color="auto"/>
            <w:right w:val="none" w:sz="0" w:space="0" w:color="auto"/>
          </w:divBdr>
        </w:div>
      </w:divsChild>
    </w:div>
    <w:div w:id="487791706">
      <w:bodyDiv w:val="1"/>
      <w:marLeft w:val="0"/>
      <w:marRight w:val="0"/>
      <w:marTop w:val="0"/>
      <w:marBottom w:val="0"/>
      <w:divBdr>
        <w:top w:val="none" w:sz="0" w:space="0" w:color="auto"/>
        <w:left w:val="none" w:sz="0" w:space="0" w:color="auto"/>
        <w:bottom w:val="none" w:sz="0" w:space="0" w:color="auto"/>
        <w:right w:val="none" w:sz="0" w:space="0" w:color="auto"/>
      </w:divBdr>
      <w:divsChild>
        <w:div w:id="2100906840">
          <w:marLeft w:val="0"/>
          <w:marRight w:val="0"/>
          <w:marTop w:val="0"/>
          <w:marBottom w:val="0"/>
          <w:divBdr>
            <w:top w:val="none" w:sz="0" w:space="0" w:color="auto"/>
            <w:left w:val="none" w:sz="0" w:space="0" w:color="auto"/>
            <w:bottom w:val="none" w:sz="0" w:space="0" w:color="auto"/>
            <w:right w:val="none" w:sz="0" w:space="0" w:color="auto"/>
          </w:divBdr>
        </w:div>
      </w:divsChild>
    </w:div>
    <w:div w:id="500583564">
      <w:bodyDiv w:val="1"/>
      <w:marLeft w:val="0"/>
      <w:marRight w:val="0"/>
      <w:marTop w:val="0"/>
      <w:marBottom w:val="0"/>
      <w:divBdr>
        <w:top w:val="none" w:sz="0" w:space="0" w:color="auto"/>
        <w:left w:val="none" w:sz="0" w:space="0" w:color="auto"/>
        <w:bottom w:val="none" w:sz="0" w:space="0" w:color="auto"/>
        <w:right w:val="none" w:sz="0" w:space="0" w:color="auto"/>
      </w:divBdr>
    </w:div>
    <w:div w:id="501510779">
      <w:bodyDiv w:val="1"/>
      <w:marLeft w:val="0"/>
      <w:marRight w:val="0"/>
      <w:marTop w:val="0"/>
      <w:marBottom w:val="0"/>
      <w:divBdr>
        <w:top w:val="none" w:sz="0" w:space="0" w:color="auto"/>
        <w:left w:val="none" w:sz="0" w:space="0" w:color="auto"/>
        <w:bottom w:val="none" w:sz="0" w:space="0" w:color="auto"/>
        <w:right w:val="none" w:sz="0" w:space="0" w:color="auto"/>
      </w:divBdr>
    </w:div>
    <w:div w:id="501629725">
      <w:bodyDiv w:val="1"/>
      <w:marLeft w:val="0"/>
      <w:marRight w:val="0"/>
      <w:marTop w:val="0"/>
      <w:marBottom w:val="0"/>
      <w:divBdr>
        <w:top w:val="none" w:sz="0" w:space="0" w:color="auto"/>
        <w:left w:val="none" w:sz="0" w:space="0" w:color="auto"/>
        <w:bottom w:val="none" w:sz="0" w:space="0" w:color="auto"/>
        <w:right w:val="none" w:sz="0" w:space="0" w:color="auto"/>
      </w:divBdr>
    </w:div>
    <w:div w:id="503514868">
      <w:bodyDiv w:val="1"/>
      <w:marLeft w:val="0"/>
      <w:marRight w:val="0"/>
      <w:marTop w:val="0"/>
      <w:marBottom w:val="0"/>
      <w:divBdr>
        <w:top w:val="none" w:sz="0" w:space="0" w:color="auto"/>
        <w:left w:val="none" w:sz="0" w:space="0" w:color="auto"/>
        <w:bottom w:val="none" w:sz="0" w:space="0" w:color="auto"/>
        <w:right w:val="none" w:sz="0" w:space="0" w:color="auto"/>
      </w:divBdr>
    </w:div>
    <w:div w:id="513306221">
      <w:bodyDiv w:val="1"/>
      <w:marLeft w:val="0"/>
      <w:marRight w:val="0"/>
      <w:marTop w:val="0"/>
      <w:marBottom w:val="0"/>
      <w:divBdr>
        <w:top w:val="none" w:sz="0" w:space="0" w:color="auto"/>
        <w:left w:val="none" w:sz="0" w:space="0" w:color="auto"/>
        <w:bottom w:val="none" w:sz="0" w:space="0" w:color="auto"/>
        <w:right w:val="none" w:sz="0" w:space="0" w:color="auto"/>
      </w:divBdr>
    </w:div>
    <w:div w:id="528834650">
      <w:bodyDiv w:val="1"/>
      <w:marLeft w:val="0"/>
      <w:marRight w:val="0"/>
      <w:marTop w:val="0"/>
      <w:marBottom w:val="0"/>
      <w:divBdr>
        <w:top w:val="none" w:sz="0" w:space="0" w:color="auto"/>
        <w:left w:val="none" w:sz="0" w:space="0" w:color="auto"/>
        <w:bottom w:val="none" w:sz="0" w:space="0" w:color="auto"/>
        <w:right w:val="none" w:sz="0" w:space="0" w:color="auto"/>
      </w:divBdr>
    </w:div>
    <w:div w:id="542836848">
      <w:bodyDiv w:val="1"/>
      <w:marLeft w:val="0"/>
      <w:marRight w:val="0"/>
      <w:marTop w:val="0"/>
      <w:marBottom w:val="0"/>
      <w:divBdr>
        <w:top w:val="none" w:sz="0" w:space="0" w:color="auto"/>
        <w:left w:val="none" w:sz="0" w:space="0" w:color="auto"/>
        <w:bottom w:val="none" w:sz="0" w:space="0" w:color="auto"/>
        <w:right w:val="none" w:sz="0" w:space="0" w:color="auto"/>
      </w:divBdr>
    </w:div>
    <w:div w:id="546184359">
      <w:bodyDiv w:val="1"/>
      <w:marLeft w:val="0"/>
      <w:marRight w:val="0"/>
      <w:marTop w:val="0"/>
      <w:marBottom w:val="0"/>
      <w:divBdr>
        <w:top w:val="none" w:sz="0" w:space="0" w:color="auto"/>
        <w:left w:val="none" w:sz="0" w:space="0" w:color="auto"/>
        <w:bottom w:val="none" w:sz="0" w:space="0" w:color="auto"/>
        <w:right w:val="none" w:sz="0" w:space="0" w:color="auto"/>
      </w:divBdr>
    </w:div>
    <w:div w:id="553199080">
      <w:bodyDiv w:val="1"/>
      <w:marLeft w:val="0"/>
      <w:marRight w:val="0"/>
      <w:marTop w:val="0"/>
      <w:marBottom w:val="0"/>
      <w:divBdr>
        <w:top w:val="none" w:sz="0" w:space="0" w:color="auto"/>
        <w:left w:val="none" w:sz="0" w:space="0" w:color="auto"/>
        <w:bottom w:val="none" w:sz="0" w:space="0" w:color="auto"/>
        <w:right w:val="none" w:sz="0" w:space="0" w:color="auto"/>
      </w:divBdr>
    </w:div>
    <w:div w:id="555896933">
      <w:bodyDiv w:val="1"/>
      <w:marLeft w:val="0"/>
      <w:marRight w:val="0"/>
      <w:marTop w:val="0"/>
      <w:marBottom w:val="0"/>
      <w:divBdr>
        <w:top w:val="none" w:sz="0" w:space="0" w:color="auto"/>
        <w:left w:val="none" w:sz="0" w:space="0" w:color="auto"/>
        <w:bottom w:val="none" w:sz="0" w:space="0" w:color="auto"/>
        <w:right w:val="none" w:sz="0" w:space="0" w:color="auto"/>
      </w:divBdr>
    </w:div>
    <w:div w:id="559898801">
      <w:bodyDiv w:val="1"/>
      <w:marLeft w:val="0"/>
      <w:marRight w:val="0"/>
      <w:marTop w:val="0"/>
      <w:marBottom w:val="0"/>
      <w:divBdr>
        <w:top w:val="none" w:sz="0" w:space="0" w:color="auto"/>
        <w:left w:val="none" w:sz="0" w:space="0" w:color="auto"/>
        <w:bottom w:val="none" w:sz="0" w:space="0" w:color="auto"/>
        <w:right w:val="none" w:sz="0" w:space="0" w:color="auto"/>
      </w:divBdr>
    </w:div>
    <w:div w:id="561911645">
      <w:bodyDiv w:val="1"/>
      <w:marLeft w:val="0"/>
      <w:marRight w:val="0"/>
      <w:marTop w:val="0"/>
      <w:marBottom w:val="0"/>
      <w:divBdr>
        <w:top w:val="none" w:sz="0" w:space="0" w:color="auto"/>
        <w:left w:val="none" w:sz="0" w:space="0" w:color="auto"/>
        <w:bottom w:val="none" w:sz="0" w:space="0" w:color="auto"/>
        <w:right w:val="none" w:sz="0" w:space="0" w:color="auto"/>
      </w:divBdr>
    </w:div>
    <w:div w:id="563217367">
      <w:bodyDiv w:val="1"/>
      <w:marLeft w:val="0"/>
      <w:marRight w:val="0"/>
      <w:marTop w:val="0"/>
      <w:marBottom w:val="0"/>
      <w:divBdr>
        <w:top w:val="none" w:sz="0" w:space="0" w:color="auto"/>
        <w:left w:val="none" w:sz="0" w:space="0" w:color="auto"/>
        <w:bottom w:val="none" w:sz="0" w:space="0" w:color="auto"/>
        <w:right w:val="none" w:sz="0" w:space="0" w:color="auto"/>
      </w:divBdr>
    </w:div>
    <w:div w:id="573398793">
      <w:bodyDiv w:val="1"/>
      <w:marLeft w:val="0"/>
      <w:marRight w:val="0"/>
      <w:marTop w:val="0"/>
      <w:marBottom w:val="0"/>
      <w:divBdr>
        <w:top w:val="none" w:sz="0" w:space="0" w:color="auto"/>
        <w:left w:val="none" w:sz="0" w:space="0" w:color="auto"/>
        <w:bottom w:val="none" w:sz="0" w:space="0" w:color="auto"/>
        <w:right w:val="none" w:sz="0" w:space="0" w:color="auto"/>
      </w:divBdr>
    </w:div>
    <w:div w:id="574432336">
      <w:bodyDiv w:val="1"/>
      <w:marLeft w:val="0"/>
      <w:marRight w:val="0"/>
      <w:marTop w:val="0"/>
      <w:marBottom w:val="0"/>
      <w:divBdr>
        <w:top w:val="none" w:sz="0" w:space="0" w:color="auto"/>
        <w:left w:val="none" w:sz="0" w:space="0" w:color="auto"/>
        <w:bottom w:val="none" w:sz="0" w:space="0" w:color="auto"/>
        <w:right w:val="none" w:sz="0" w:space="0" w:color="auto"/>
      </w:divBdr>
    </w:div>
    <w:div w:id="576330658">
      <w:bodyDiv w:val="1"/>
      <w:marLeft w:val="0"/>
      <w:marRight w:val="0"/>
      <w:marTop w:val="0"/>
      <w:marBottom w:val="0"/>
      <w:divBdr>
        <w:top w:val="none" w:sz="0" w:space="0" w:color="auto"/>
        <w:left w:val="none" w:sz="0" w:space="0" w:color="auto"/>
        <w:bottom w:val="none" w:sz="0" w:space="0" w:color="auto"/>
        <w:right w:val="none" w:sz="0" w:space="0" w:color="auto"/>
      </w:divBdr>
    </w:div>
    <w:div w:id="577790701">
      <w:bodyDiv w:val="1"/>
      <w:marLeft w:val="0"/>
      <w:marRight w:val="0"/>
      <w:marTop w:val="0"/>
      <w:marBottom w:val="0"/>
      <w:divBdr>
        <w:top w:val="none" w:sz="0" w:space="0" w:color="auto"/>
        <w:left w:val="none" w:sz="0" w:space="0" w:color="auto"/>
        <w:bottom w:val="none" w:sz="0" w:space="0" w:color="auto"/>
        <w:right w:val="none" w:sz="0" w:space="0" w:color="auto"/>
      </w:divBdr>
    </w:div>
    <w:div w:id="581647139">
      <w:bodyDiv w:val="1"/>
      <w:marLeft w:val="0"/>
      <w:marRight w:val="0"/>
      <w:marTop w:val="0"/>
      <w:marBottom w:val="0"/>
      <w:divBdr>
        <w:top w:val="none" w:sz="0" w:space="0" w:color="auto"/>
        <w:left w:val="none" w:sz="0" w:space="0" w:color="auto"/>
        <w:bottom w:val="none" w:sz="0" w:space="0" w:color="auto"/>
        <w:right w:val="none" w:sz="0" w:space="0" w:color="auto"/>
      </w:divBdr>
    </w:div>
    <w:div w:id="596013985">
      <w:bodyDiv w:val="1"/>
      <w:marLeft w:val="0"/>
      <w:marRight w:val="0"/>
      <w:marTop w:val="0"/>
      <w:marBottom w:val="0"/>
      <w:divBdr>
        <w:top w:val="none" w:sz="0" w:space="0" w:color="auto"/>
        <w:left w:val="none" w:sz="0" w:space="0" w:color="auto"/>
        <w:bottom w:val="none" w:sz="0" w:space="0" w:color="auto"/>
        <w:right w:val="none" w:sz="0" w:space="0" w:color="auto"/>
      </w:divBdr>
    </w:div>
    <w:div w:id="605583553">
      <w:bodyDiv w:val="1"/>
      <w:marLeft w:val="0"/>
      <w:marRight w:val="0"/>
      <w:marTop w:val="0"/>
      <w:marBottom w:val="0"/>
      <w:divBdr>
        <w:top w:val="none" w:sz="0" w:space="0" w:color="auto"/>
        <w:left w:val="none" w:sz="0" w:space="0" w:color="auto"/>
        <w:bottom w:val="none" w:sz="0" w:space="0" w:color="auto"/>
        <w:right w:val="none" w:sz="0" w:space="0" w:color="auto"/>
      </w:divBdr>
    </w:div>
    <w:div w:id="609238617">
      <w:bodyDiv w:val="1"/>
      <w:marLeft w:val="0"/>
      <w:marRight w:val="0"/>
      <w:marTop w:val="0"/>
      <w:marBottom w:val="0"/>
      <w:divBdr>
        <w:top w:val="none" w:sz="0" w:space="0" w:color="auto"/>
        <w:left w:val="none" w:sz="0" w:space="0" w:color="auto"/>
        <w:bottom w:val="none" w:sz="0" w:space="0" w:color="auto"/>
        <w:right w:val="none" w:sz="0" w:space="0" w:color="auto"/>
      </w:divBdr>
    </w:div>
    <w:div w:id="610671592">
      <w:bodyDiv w:val="1"/>
      <w:marLeft w:val="0"/>
      <w:marRight w:val="0"/>
      <w:marTop w:val="0"/>
      <w:marBottom w:val="0"/>
      <w:divBdr>
        <w:top w:val="none" w:sz="0" w:space="0" w:color="auto"/>
        <w:left w:val="none" w:sz="0" w:space="0" w:color="auto"/>
        <w:bottom w:val="none" w:sz="0" w:space="0" w:color="auto"/>
        <w:right w:val="none" w:sz="0" w:space="0" w:color="auto"/>
      </w:divBdr>
    </w:div>
    <w:div w:id="612052777">
      <w:bodyDiv w:val="1"/>
      <w:marLeft w:val="0"/>
      <w:marRight w:val="0"/>
      <w:marTop w:val="0"/>
      <w:marBottom w:val="0"/>
      <w:divBdr>
        <w:top w:val="none" w:sz="0" w:space="0" w:color="auto"/>
        <w:left w:val="none" w:sz="0" w:space="0" w:color="auto"/>
        <w:bottom w:val="none" w:sz="0" w:space="0" w:color="auto"/>
        <w:right w:val="none" w:sz="0" w:space="0" w:color="auto"/>
      </w:divBdr>
    </w:div>
    <w:div w:id="614605993">
      <w:bodyDiv w:val="1"/>
      <w:marLeft w:val="0"/>
      <w:marRight w:val="0"/>
      <w:marTop w:val="0"/>
      <w:marBottom w:val="0"/>
      <w:divBdr>
        <w:top w:val="none" w:sz="0" w:space="0" w:color="auto"/>
        <w:left w:val="none" w:sz="0" w:space="0" w:color="auto"/>
        <w:bottom w:val="none" w:sz="0" w:space="0" w:color="auto"/>
        <w:right w:val="none" w:sz="0" w:space="0" w:color="auto"/>
      </w:divBdr>
    </w:div>
    <w:div w:id="617641140">
      <w:bodyDiv w:val="1"/>
      <w:marLeft w:val="0"/>
      <w:marRight w:val="0"/>
      <w:marTop w:val="0"/>
      <w:marBottom w:val="0"/>
      <w:divBdr>
        <w:top w:val="none" w:sz="0" w:space="0" w:color="auto"/>
        <w:left w:val="none" w:sz="0" w:space="0" w:color="auto"/>
        <w:bottom w:val="none" w:sz="0" w:space="0" w:color="auto"/>
        <w:right w:val="none" w:sz="0" w:space="0" w:color="auto"/>
      </w:divBdr>
    </w:div>
    <w:div w:id="621109121">
      <w:bodyDiv w:val="1"/>
      <w:marLeft w:val="0"/>
      <w:marRight w:val="0"/>
      <w:marTop w:val="0"/>
      <w:marBottom w:val="0"/>
      <w:divBdr>
        <w:top w:val="none" w:sz="0" w:space="0" w:color="auto"/>
        <w:left w:val="none" w:sz="0" w:space="0" w:color="auto"/>
        <w:bottom w:val="none" w:sz="0" w:space="0" w:color="auto"/>
        <w:right w:val="none" w:sz="0" w:space="0" w:color="auto"/>
      </w:divBdr>
    </w:div>
    <w:div w:id="630087716">
      <w:bodyDiv w:val="1"/>
      <w:marLeft w:val="0"/>
      <w:marRight w:val="0"/>
      <w:marTop w:val="0"/>
      <w:marBottom w:val="0"/>
      <w:divBdr>
        <w:top w:val="none" w:sz="0" w:space="0" w:color="auto"/>
        <w:left w:val="none" w:sz="0" w:space="0" w:color="auto"/>
        <w:bottom w:val="none" w:sz="0" w:space="0" w:color="auto"/>
        <w:right w:val="none" w:sz="0" w:space="0" w:color="auto"/>
      </w:divBdr>
      <w:divsChild>
        <w:div w:id="1363166302">
          <w:marLeft w:val="0"/>
          <w:marRight w:val="0"/>
          <w:marTop w:val="0"/>
          <w:marBottom w:val="0"/>
          <w:divBdr>
            <w:top w:val="none" w:sz="0" w:space="0" w:color="auto"/>
            <w:left w:val="none" w:sz="0" w:space="0" w:color="auto"/>
            <w:bottom w:val="none" w:sz="0" w:space="0" w:color="auto"/>
            <w:right w:val="none" w:sz="0" w:space="0" w:color="auto"/>
          </w:divBdr>
        </w:div>
        <w:div w:id="1838494708">
          <w:marLeft w:val="0"/>
          <w:marRight w:val="0"/>
          <w:marTop w:val="0"/>
          <w:marBottom w:val="0"/>
          <w:divBdr>
            <w:top w:val="none" w:sz="0" w:space="0" w:color="auto"/>
            <w:left w:val="none" w:sz="0" w:space="0" w:color="auto"/>
            <w:bottom w:val="none" w:sz="0" w:space="0" w:color="auto"/>
            <w:right w:val="none" w:sz="0" w:space="0" w:color="auto"/>
          </w:divBdr>
        </w:div>
      </w:divsChild>
    </w:div>
    <w:div w:id="638807230">
      <w:bodyDiv w:val="1"/>
      <w:marLeft w:val="0"/>
      <w:marRight w:val="0"/>
      <w:marTop w:val="0"/>
      <w:marBottom w:val="0"/>
      <w:divBdr>
        <w:top w:val="none" w:sz="0" w:space="0" w:color="auto"/>
        <w:left w:val="none" w:sz="0" w:space="0" w:color="auto"/>
        <w:bottom w:val="none" w:sz="0" w:space="0" w:color="auto"/>
        <w:right w:val="none" w:sz="0" w:space="0" w:color="auto"/>
      </w:divBdr>
    </w:div>
    <w:div w:id="646055108">
      <w:bodyDiv w:val="1"/>
      <w:marLeft w:val="0"/>
      <w:marRight w:val="0"/>
      <w:marTop w:val="0"/>
      <w:marBottom w:val="0"/>
      <w:divBdr>
        <w:top w:val="none" w:sz="0" w:space="0" w:color="auto"/>
        <w:left w:val="none" w:sz="0" w:space="0" w:color="auto"/>
        <w:bottom w:val="none" w:sz="0" w:space="0" w:color="auto"/>
        <w:right w:val="none" w:sz="0" w:space="0" w:color="auto"/>
      </w:divBdr>
    </w:div>
    <w:div w:id="653531418">
      <w:bodyDiv w:val="1"/>
      <w:marLeft w:val="0"/>
      <w:marRight w:val="0"/>
      <w:marTop w:val="0"/>
      <w:marBottom w:val="0"/>
      <w:divBdr>
        <w:top w:val="none" w:sz="0" w:space="0" w:color="auto"/>
        <w:left w:val="none" w:sz="0" w:space="0" w:color="auto"/>
        <w:bottom w:val="none" w:sz="0" w:space="0" w:color="auto"/>
        <w:right w:val="none" w:sz="0" w:space="0" w:color="auto"/>
      </w:divBdr>
    </w:div>
    <w:div w:id="663045609">
      <w:bodyDiv w:val="1"/>
      <w:marLeft w:val="0"/>
      <w:marRight w:val="0"/>
      <w:marTop w:val="0"/>
      <w:marBottom w:val="0"/>
      <w:divBdr>
        <w:top w:val="none" w:sz="0" w:space="0" w:color="auto"/>
        <w:left w:val="none" w:sz="0" w:space="0" w:color="auto"/>
        <w:bottom w:val="none" w:sz="0" w:space="0" w:color="auto"/>
        <w:right w:val="none" w:sz="0" w:space="0" w:color="auto"/>
      </w:divBdr>
    </w:div>
    <w:div w:id="667485516">
      <w:bodyDiv w:val="1"/>
      <w:marLeft w:val="0"/>
      <w:marRight w:val="0"/>
      <w:marTop w:val="0"/>
      <w:marBottom w:val="0"/>
      <w:divBdr>
        <w:top w:val="none" w:sz="0" w:space="0" w:color="auto"/>
        <w:left w:val="none" w:sz="0" w:space="0" w:color="auto"/>
        <w:bottom w:val="none" w:sz="0" w:space="0" w:color="auto"/>
        <w:right w:val="none" w:sz="0" w:space="0" w:color="auto"/>
      </w:divBdr>
    </w:div>
    <w:div w:id="691347991">
      <w:bodyDiv w:val="1"/>
      <w:marLeft w:val="0"/>
      <w:marRight w:val="0"/>
      <w:marTop w:val="0"/>
      <w:marBottom w:val="0"/>
      <w:divBdr>
        <w:top w:val="none" w:sz="0" w:space="0" w:color="auto"/>
        <w:left w:val="none" w:sz="0" w:space="0" w:color="auto"/>
        <w:bottom w:val="none" w:sz="0" w:space="0" w:color="auto"/>
        <w:right w:val="none" w:sz="0" w:space="0" w:color="auto"/>
      </w:divBdr>
    </w:div>
    <w:div w:id="704713943">
      <w:bodyDiv w:val="1"/>
      <w:marLeft w:val="0"/>
      <w:marRight w:val="0"/>
      <w:marTop w:val="0"/>
      <w:marBottom w:val="0"/>
      <w:divBdr>
        <w:top w:val="none" w:sz="0" w:space="0" w:color="auto"/>
        <w:left w:val="none" w:sz="0" w:space="0" w:color="auto"/>
        <w:bottom w:val="none" w:sz="0" w:space="0" w:color="auto"/>
        <w:right w:val="none" w:sz="0" w:space="0" w:color="auto"/>
      </w:divBdr>
    </w:div>
    <w:div w:id="705638695">
      <w:bodyDiv w:val="1"/>
      <w:marLeft w:val="0"/>
      <w:marRight w:val="0"/>
      <w:marTop w:val="0"/>
      <w:marBottom w:val="0"/>
      <w:divBdr>
        <w:top w:val="none" w:sz="0" w:space="0" w:color="auto"/>
        <w:left w:val="none" w:sz="0" w:space="0" w:color="auto"/>
        <w:bottom w:val="none" w:sz="0" w:space="0" w:color="auto"/>
        <w:right w:val="none" w:sz="0" w:space="0" w:color="auto"/>
      </w:divBdr>
      <w:divsChild>
        <w:div w:id="317199326">
          <w:marLeft w:val="0"/>
          <w:marRight w:val="0"/>
          <w:marTop w:val="0"/>
          <w:marBottom w:val="0"/>
          <w:divBdr>
            <w:top w:val="none" w:sz="0" w:space="0" w:color="auto"/>
            <w:left w:val="none" w:sz="0" w:space="0" w:color="auto"/>
            <w:bottom w:val="none" w:sz="0" w:space="0" w:color="auto"/>
            <w:right w:val="none" w:sz="0" w:space="0" w:color="auto"/>
          </w:divBdr>
          <w:divsChild>
            <w:div w:id="5072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055">
      <w:bodyDiv w:val="1"/>
      <w:marLeft w:val="0"/>
      <w:marRight w:val="0"/>
      <w:marTop w:val="0"/>
      <w:marBottom w:val="0"/>
      <w:divBdr>
        <w:top w:val="none" w:sz="0" w:space="0" w:color="auto"/>
        <w:left w:val="none" w:sz="0" w:space="0" w:color="auto"/>
        <w:bottom w:val="none" w:sz="0" w:space="0" w:color="auto"/>
        <w:right w:val="none" w:sz="0" w:space="0" w:color="auto"/>
      </w:divBdr>
    </w:div>
    <w:div w:id="715276551">
      <w:bodyDiv w:val="1"/>
      <w:marLeft w:val="0"/>
      <w:marRight w:val="0"/>
      <w:marTop w:val="0"/>
      <w:marBottom w:val="0"/>
      <w:divBdr>
        <w:top w:val="none" w:sz="0" w:space="0" w:color="auto"/>
        <w:left w:val="none" w:sz="0" w:space="0" w:color="auto"/>
        <w:bottom w:val="none" w:sz="0" w:space="0" w:color="auto"/>
        <w:right w:val="none" w:sz="0" w:space="0" w:color="auto"/>
      </w:divBdr>
    </w:div>
    <w:div w:id="718633868">
      <w:bodyDiv w:val="1"/>
      <w:marLeft w:val="0"/>
      <w:marRight w:val="0"/>
      <w:marTop w:val="0"/>
      <w:marBottom w:val="0"/>
      <w:divBdr>
        <w:top w:val="none" w:sz="0" w:space="0" w:color="auto"/>
        <w:left w:val="none" w:sz="0" w:space="0" w:color="auto"/>
        <w:bottom w:val="none" w:sz="0" w:space="0" w:color="auto"/>
        <w:right w:val="none" w:sz="0" w:space="0" w:color="auto"/>
      </w:divBdr>
    </w:div>
    <w:div w:id="719327825">
      <w:bodyDiv w:val="1"/>
      <w:marLeft w:val="0"/>
      <w:marRight w:val="0"/>
      <w:marTop w:val="0"/>
      <w:marBottom w:val="0"/>
      <w:divBdr>
        <w:top w:val="none" w:sz="0" w:space="0" w:color="auto"/>
        <w:left w:val="none" w:sz="0" w:space="0" w:color="auto"/>
        <w:bottom w:val="none" w:sz="0" w:space="0" w:color="auto"/>
        <w:right w:val="none" w:sz="0" w:space="0" w:color="auto"/>
      </w:divBdr>
    </w:div>
    <w:div w:id="722949482">
      <w:bodyDiv w:val="1"/>
      <w:marLeft w:val="0"/>
      <w:marRight w:val="0"/>
      <w:marTop w:val="0"/>
      <w:marBottom w:val="0"/>
      <w:divBdr>
        <w:top w:val="none" w:sz="0" w:space="0" w:color="auto"/>
        <w:left w:val="none" w:sz="0" w:space="0" w:color="auto"/>
        <w:bottom w:val="none" w:sz="0" w:space="0" w:color="auto"/>
        <w:right w:val="none" w:sz="0" w:space="0" w:color="auto"/>
      </w:divBdr>
    </w:div>
    <w:div w:id="730036725">
      <w:bodyDiv w:val="1"/>
      <w:marLeft w:val="0"/>
      <w:marRight w:val="0"/>
      <w:marTop w:val="0"/>
      <w:marBottom w:val="0"/>
      <w:divBdr>
        <w:top w:val="none" w:sz="0" w:space="0" w:color="auto"/>
        <w:left w:val="none" w:sz="0" w:space="0" w:color="auto"/>
        <w:bottom w:val="none" w:sz="0" w:space="0" w:color="auto"/>
        <w:right w:val="none" w:sz="0" w:space="0" w:color="auto"/>
      </w:divBdr>
    </w:div>
    <w:div w:id="732896884">
      <w:bodyDiv w:val="1"/>
      <w:marLeft w:val="0"/>
      <w:marRight w:val="0"/>
      <w:marTop w:val="0"/>
      <w:marBottom w:val="0"/>
      <w:divBdr>
        <w:top w:val="none" w:sz="0" w:space="0" w:color="auto"/>
        <w:left w:val="none" w:sz="0" w:space="0" w:color="auto"/>
        <w:bottom w:val="none" w:sz="0" w:space="0" w:color="auto"/>
        <w:right w:val="none" w:sz="0" w:space="0" w:color="auto"/>
      </w:divBdr>
      <w:divsChild>
        <w:div w:id="923104695">
          <w:marLeft w:val="0"/>
          <w:marRight w:val="0"/>
          <w:marTop w:val="0"/>
          <w:marBottom w:val="0"/>
          <w:divBdr>
            <w:top w:val="none" w:sz="0" w:space="0" w:color="auto"/>
            <w:left w:val="none" w:sz="0" w:space="0" w:color="auto"/>
            <w:bottom w:val="none" w:sz="0" w:space="0" w:color="auto"/>
            <w:right w:val="none" w:sz="0" w:space="0" w:color="auto"/>
          </w:divBdr>
          <w:divsChild>
            <w:div w:id="16617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0071">
      <w:bodyDiv w:val="1"/>
      <w:marLeft w:val="0"/>
      <w:marRight w:val="0"/>
      <w:marTop w:val="0"/>
      <w:marBottom w:val="0"/>
      <w:divBdr>
        <w:top w:val="none" w:sz="0" w:space="0" w:color="auto"/>
        <w:left w:val="none" w:sz="0" w:space="0" w:color="auto"/>
        <w:bottom w:val="none" w:sz="0" w:space="0" w:color="auto"/>
        <w:right w:val="none" w:sz="0" w:space="0" w:color="auto"/>
      </w:divBdr>
    </w:div>
    <w:div w:id="739213133">
      <w:bodyDiv w:val="1"/>
      <w:marLeft w:val="0"/>
      <w:marRight w:val="0"/>
      <w:marTop w:val="0"/>
      <w:marBottom w:val="0"/>
      <w:divBdr>
        <w:top w:val="none" w:sz="0" w:space="0" w:color="auto"/>
        <w:left w:val="none" w:sz="0" w:space="0" w:color="auto"/>
        <w:bottom w:val="none" w:sz="0" w:space="0" w:color="auto"/>
        <w:right w:val="none" w:sz="0" w:space="0" w:color="auto"/>
      </w:divBdr>
    </w:div>
    <w:div w:id="740374582">
      <w:bodyDiv w:val="1"/>
      <w:marLeft w:val="0"/>
      <w:marRight w:val="0"/>
      <w:marTop w:val="0"/>
      <w:marBottom w:val="0"/>
      <w:divBdr>
        <w:top w:val="none" w:sz="0" w:space="0" w:color="auto"/>
        <w:left w:val="none" w:sz="0" w:space="0" w:color="auto"/>
        <w:bottom w:val="none" w:sz="0" w:space="0" w:color="auto"/>
        <w:right w:val="none" w:sz="0" w:space="0" w:color="auto"/>
      </w:divBdr>
    </w:div>
    <w:div w:id="741946107">
      <w:bodyDiv w:val="1"/>
      <w:marLeft w:val="0"/>
      <w:marRight w:val="0"/>
      <w:marTop w:val="0"/>
      <w:marBottom w:val="0"/>
      <w:divBdr>
        <w:top w:val="none" w:sz="0" w:space="0" w:color="auto"/>
        <w:left w:val="none" w:sz="0" w:space="0" w:color="auto"/>
        <w:bottom w:val="none" w:sz="0" w:space="0" w:color="auto"/>
        <w:right w:val="none" w:sz="0" w:space="0" w:color="auto"/>
      </w:divBdr>
    </w:div>
    <w:div w:id="750850385">
      <w:bodyDiv w:val="1"/>
      <w:marLeft w:val="0"/>
      <w:marRight w:val="0"/>
      <w:marTop w:val="0"/>
      <w:marBottom w:val="0"/>
      <w:divBdr>
        <w:top w:val="none" w:sz="0" w:space="0" w:color="auto"/>
        <w:left w:val="none" w:sz="0" w:space="0" w:color="auto"/>
        <w:bottom w:val="none" w:sz="0" w:space="0" w:color="auto"/>
        <w:right w:val="none" w:sz="0" w:space="0" w:color="auto"/>
      </w:divBdr>
      <w:divsChild>
        <w:div w:id="522521275">
          <w:marLeft w:val="0"/>
          <w:marRight w:val="0"/>
          <w:marTop w:val="0"/>
          <w:marBottom w:val="0"/>
          <w:divBdr>
            <w:top w:val="none" w:sz="0" w:space="0" w:color="auto"/>
            <w:left w:val="none" w:sz="0" w:space="0" w:color="auto"/>
            <w:bottom w:val="none" w:sz="0" w:space="0" w:color="auto"/>
            <w:right w:val="none" w:sz="0" w:space="0" w:color="auto"/>
          </w:divBdr>
        </w:div>
        <w:div w:id="1234201895">
          <w:marLeft w:val="0"/>
          <w:marRight w:val="0"/>
          <w:marTop w:val="0"/>
          <w:marBottom w:val="0"/>
          <w:divBdr>
            <w:top w:val="none" w:sz="0" w:space="0" w:color="auto"/>
            <w:left w:val="none" w:sz="0" w:space="0" w:color="auto"/>
            <w:bottom w:val="none" w:sz="0" w:space="0" w:color="auto"/>
            <w:right w:val="none" w:sz="0" w:space="0" w:color="auto"/>
          </w:divBdr>
          <w:divsChild>
            <w:div w:id="1411077938">
              <w:marLeft w:val="0"/>
              <w:marRight w:val="0"/>
              <w:marTop w:val="0"/>
              <w:marBottom w:val="0"/>
              <w:divBdr>
                <w:top w:val="none" w:sz="0" w:space="0" w:color="auto"/>
                <w:left w:val="none" w:sz="0" w:space="0" w:color="auto"/>
                <w:bottom w:val="none" w:sz="0" w:space="0" w:color="auto"/>
                <w:right w:val="none" w:sz="0" w:space="0" w:color="auto"/>
              </w:divBdr>
              <w:divsChild>
                <w:div w:id="1693722088">
                  <w:marLeft w:val="0"/>
                  <w:marRight w:val="0"/>
                  <w:marTop w:val="0"/>
                  <w:marBottom w:val="0"/>
                  <w:divBdr>
                    <w:top w:val="none" w:sz="0" w:space="0" w:color="auto"/>
                    <w:left w:val="none" w:sz="0" w:space="0" w:color="auto"/>
                    <w:bottom w:val="none" w:sz="0" w:space="0" w:color="auto"/>
                    <w:right w:val="none" w:sz="0" w:space="0" w:color="auto"/>
                  </w:divBdr>
                  <w:divsChild>
                    <w:div w:id="514341648">
                      <w:marLeft w:val="0"/>
                      <w:marRight w:val="0"/>
                      <w:marTop w:val="0"/>
                      <w:marBottom w:val="0"/>
                      <w:divBdr>
                        <w:top w:val="none" w:sz="0" w:space="0" w:color="auto"/>
                        <w:left w:val="none" w:sz="0" w:space="0" w:color="auto"/>
                        <w:bottom w:val="none" w:sz="0" w:space="0" w:color="auto"/>
                        <w:right w:val="none" w:sz="0" w:space="0" w:color="auto"/>
                      </w:divBdr>
                      <w:divsChild>
                        <w:div w:id="1290741670">
                          <w:marLeft w:val="0"/>
                          <w:marRight w:val="0"/>
                          <w:marTop w:val="0"/>
                          <w:marBottom w:val="0"/>
                          <w:divBdr>
                            <w:top w:val="none" w:sz="0" w:space="0" w:color="auto"/>
                            <w:left w:val="none" w:sz="0" w:space="0" w:color="auto"/>
                            <w:bottom w:val="none" w:sz="0" w:space="0" w:color="auto"/>
                            <w:right w:val="none" w:sz="0" w:space="0" w:color="auto"/>
                          </w:divBdr>
                          <w:divsChild>
                            <w:div w:id="1851069750">
                              <w:marLeft w:val="0"/>
                              <w:marRight w:val="0"/>
                              <w:marTop w:val="0"/>
                              <w:marBottom w:val="0"/>
                              <w:divBdr>
                                <w:top w:val="none" w:sz="0" w:space="0" w:color="auto"/>
                                <w:left w:val="none" w:sz="0" w:space="0" w:color="auto"/>
                                <w:bottom w:val="none" w:sz="0" w:space="0" w:color="auto"/>
                                <w:right w:val="none" w:sz="0" w:space="0" w:color="auto"/>
                              </w:divBdr>
                              <w:divsChild>
                                <w:div w:id="12166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258197">
      <w:bodyDiv w:val="1"/>
      <w:marLeft w:val="0"/>
      <w:marRight w:val="0"/>
      <w:marTop w:val="0"/>
      <w:marBottom w:val="0"/>
      <w:divBdr>
        <w:top w:val="none" w:sz="0" w:space="0" w:color="auto"/>
        <w:left w:val="none" w:sz="0" w:space="0" w:color="auto"/>
        <w:bottom w:val="none" w:sz="0" w:space="0" w:color="auto"/>
        <w:right w:val="none" w:sz="0" w:space="0" w:color="auto"/>
      </w:divBdr>
    </w:div>
    <w:div w:id="778909924">
      <w:bodyDiv w:val="1"/>
      <w:marLeft w:val="0"/>
      <w:marRight w:val="0"/>
      <w:marTop w:val="0"/>
      <w:marBottom w:val="0"/>
      <w:divBdr>
        <w:top w:val="none" w:sz="0" w:space="0" w:color="auto"/>
        <w:left w:val="none" w:sz="0" w:space="0" w:color="auto"/>
        <w:bottom w:val="none" w:sz="0" w:space="0" w:color="auto"/>
        <w:right w:val="none" w:sz="0" w:space="0" w:color="auto"/>
      </w:divBdr>
    </w:div>
    <w:div w:id="804201486">
      <w:bodyDiv w:val="1"/>
      <w:marLeft w:val="0"/>
      <w:marRight w:val="0"/>
      <w:marTop w:val="0"/>
      <w:marBottom w:val="0"/>
      <w:divBdr>
        <w:top w:val="none" w:sz="0" w:space="0" w:color="auto"/>
        <w:left w:val="none" w:sz="0" w:space="0" w:color="auto"/>
        <w:bottom w:val="none" w:sz="0" w:space="0" w:color="auto"/>
        <w:right w:val="none" w:sz="0" w:space="0" w:color="auto"/>
      </w:divBdr>
    </w:div>
    <w:div w:id="812989562">
      <w:bodyDiv w:val="1"/>
      <w:marLeft w:val="0"/>
      <w:marRight w:val="0"/>
      <w:marTop w:val="0"/>
      <w:marBottom w:val="0"/>
      <w:divBdr>
        <w:top w:val="none" w:sz="0" w:space="0" w:color="auto"/>
        <w:left w:val="none" w:sz="0" w:space="0" w:color="auto"/>
        <w:bottom w:val="none" w:sz="0" w:space="0" w:color="auto"/>
        <w:right w:val="none" w:sz="0" w:space="0" w:color="auto"/>
      </w:divBdr>
    </w:div>
    <w:div w:id="817840685">
      <w:bodyDiv w:val="1"/>
      <w:marLeft w:val="0"/>
      <w:marRight w:val="0"/>
      <w:marTop w:val="0"/>
      <w:marBottom w:val="0"/>
      <w:divBdr>
        <w:top w:val="none" w:sz="0" w:space="0" w:color="auto"/>
        <w:left w:val="none" w:sz="0" w:space="0" w:color="auto"/>
        <w:bottom w:val="none" w:sz="0" w:space="0" w:color="auto"/>
        <w:right w:val="none" w:sz="0" w:space="0" w:color="auto"/>
      </w:divBdr>
    </w:div>
    <w:div w:id="822281561">
      <w:bodyDiv w:val="1"/>
      <w:marLeft w:val="0"/>
      <w:marRight w:val="0"/>
      <w:marTop w:val="0"/>
      <w:marBottom w:val="0"/>
      <w:divBdr>
        <w:top w:val="none" w:sz="0" w:space="0" w:color="auto"/>
        <w:left w:val="none" w:sz="0" w:space="0" w:color="auto"/>
        <w:bottom w:val="none" w:sz="0" w:space="0" w:color="auto"/>
        <w:right w:val="none" w:sz="0" w:space="0" w:color="auto"/>
      </w:divBdr>
    </w:div>
    <w:div w:id="827982196">
      <w:bodyDiv w:val="1"/>
      <w:marLeft w:val="0"/>
      <w:marRight w:val="0"/>
      <w:marTop w:val="0"/>
      <w:marBottom w:val="0"/>
      <w:divBdr>
        <w:top w:val="none" w:sz="0" w:space="0" w:color="auto"/>
        <w:left w:val="none" w:sz="0" w:space="0" w:color="auto"/>
        <w:bottom w:val="none" w:sz="0" w:space="0" w:color="auto"/>
        <w:right w:val="none" w:sz="0" w:space="0" w:color="auto"/>
      </w:divBdr>
    </w:div>
    <w:div w:id="833031199">
      <w:bodyDiv w:val="1"/>
      <w:marLeft w:val="0"/>
      <w:marRight w:val="0"/>
      <w:marTop w:val="0"/>
      <w:marBottom w:val="0"/>
      <w:divBdr>
        <w:top w:val="none" w:sz="0" w:space="0" w:color="auto"/>
        <w:left w:val="none" w:sz="0" w:space="0" w:color="auto"/>
        <w:bottom w:val="none" w:sz="0" w:space="0" w:color="auto"/>
        <w:right w:val="none" w:sz="0" w:space="0" w:color="auto"/>
      </w:divBdr>
    </w:div>
    <w:div w:id="840704239">
      <w:bodyDiv w:val="1"/>
      <w:marLeft w:val="0"/>
      <w:marRight w:val="0"/>
      <w:marTop w:val="0"/>
      <w:marBottom w:val="0"/>
      <w:divBdr>
        <w:top w:val="none" w:sz="0" w:space="0" w:color="auto"/>
        <w:left w:val="none" w:sz="0" w:space="0" w:color="auto"/>
        <w:bottom w:val="none" w:sz="0" w:space="0" w:color="auto"/>
        <w:right w:val="none" w:sz="0" w:space="0" w:color="auto"/>
      </w:divBdr>
    </w:div>
    <w:div w:id="841432183">
      <w:bodyDiv w:val="1"/>
      <w:marLeft w:val="0"/>
      <w:marRight w:val="0"/>
      <w:marTop w:val="0"/>
      <w:marBottom w:val="0"/>
      <w:divBdr>
        <w:top w:val="none" w:sz="0" w:space="0" w:color="auto"/>
        <w:left w:val="none" w:sz="0" w:space="0" w:color="auto"/>
        <w:bottom w:val="none" w:sz="0" w:space="0" w:color="auto"/>
        <w:right w:val="none" w:sz="0" w:space="0" w:color="auto"/>
      </w:divBdr>
    </w:div>
    <w:div w:id="841897799">
      <w:bodyDiv w:val="1"/>
      <w:marLeft w:val="0"/>
      <w:marRight w:val="0"/>
      <w:marTop w:val="0"/>
      <w:marBottom w:val="0"/>
      <w:divBdr>
        <w:top w:val="none" w:sz="0" w:space="0" w:color="auto"/>
        <w:left w:val="none" w:sz="0" w:space="0" w:color="auto"/>
        <w:bottom w:val="none" w:sz="0" w:space="0" w:color="auto"/>
        <w:right w:val="none" w:sz="0" w:space="0" w:color="auto"/>
      </w:divBdr>
    </w:div>
    <w:div w:id="850141178">
      <w:bodyDiv w:val="1"/>
      <w:marLeft w:val="0"/>
      <w:marRight w:val="0"/>
      <w:marTop w:val="0"/>
      <w:marBottom w:val="0"/>
      <w:divBdr>
        <w:top w:val="none" w:sz="0" w:space="0" w:color="auto"/>
        <w:left w:val="none" w:sz="0" w:space="0" w:color="auto"/>
        <w:bottom w:val="none" w:sz="0" w:space="0" w:color="auto"/>
        <w:right w:val="none" w:sz="0" w:space="0" w:color="auto"/>
      </w:divBdr>
    </w:div>
    <w:div w:id="851989827">
      <w:bodyDiv w:val="1"/>
      <w:marLeft w:val="0"/>
      <w:marRight w:val="0"/>
      <w:marTop w:val="0"/>
      <w:marBottom w:val="0"/>
      <w:divBdr>
        <w:top w:val="none" w:sz="0" w:space="0" w:color="auto"/>
        <w:left w:val="none" w:sz="0" w:space="0" w:color="auto"/>
        <w:bottom w:val="none" w:sz="0" w:space="0" w:color="auto"/>
        <w:right w:val="none" w:sz="0" w:space="0" w:color="auto"/>
      </w:divBdr>
    </w:div>
    <w:div w:id="860431338">
      <w:bodyDiv w:val="1"/>
      <w:marLeft w:val="0"/>
      <w:marRight w:val="0"/>
      <w:marTop w:val="0"/>
      <w:marBottom w:val="0"/>
      <w:divBdr>
        <w:top w:val="none" w:sz="0" w:space="0" w:color="auto"/>
        <w:left w:val="none" w:sz="0" w:space="0" w:color="auto"/>
        <w:bottom w:val="none" w:sz="0" w:space="0" w:color="auto"/>
        <w:right w:val="none" w:sz="0" w:space="0" w:color="auto"/>
      </w:divBdr>
    </w:div>
    <w:div w:id="865294700">
      <w:bodyDiv w:val="1"/>
      <w:marLeft w:val="0"/>
      <w:marRight w:val="0"/>
      <w:marTop w:val="0"/>
      <w:marBottom w:val="0"/>
      <w:divBdr>
        <w:top w:val="none" w:sz="0" w:space="0" w:color="auto"/>
        <w:left w:val="none" w:sz="0" w:space="0" w:color="auto"/>
        <w:bottom w:val="none" w:sz="0" w:space="0" w:color="auto"/>
        <w:right w:val="none" w:sz="0" w:space="0" w:color="auto"/>
      </w:divBdr>
    </w:div>
    <w:div w:id="872349911">
      <w:bodyDiv w:val="1"/>
      <w:marLeft w:val="0"/>
      <w:marRight w:val="0"/>
      <w:marTop w:val="0"/>
      <w:marBottom w:val="0"/>
      <w:divBdr>
        <w:top w:val="none" w:sz="0" w:space="0" w:color="auto"/>
        <w:left w:val="none" w:sz="0" w:space="0" w:color="auto"/>
        <w:bottom w:val="none" w:sz="0" w:space="0" w:color="auto"/>
        <w:right w:val="none" w:sz="0" w:space="0" w:color="auto"/>
      </w:divBdr>
    </w:div>
    <w:div w:id="884029496">
      <w:bodyDiv w:val="1"/>
      <w:marLeft w:val="0"/>
      <w:marRight w:val="0"/>
      <w:marTop w:val="0"/>
      <w:marBottom w:val="0"/>
      <w:divBdr>
        <w:top w:val="none" w:sz="0" w:space="0" w:color="auto"/>
        <w:left w:val="none" w:sz="0" w:space="0" w:color="auto"/>
        <w:bottom w:val="none" w:sz="0" w:space="0" w:color="auto"/>
        <w:right w:val="none" w:sz="0" w:space="0" w:color="auto"/>
      </w:divBdr>
    </w:div>
    <w:div w:id="886376647">
      <w:bodyDiv w:val="1"/>
      <w:marLeft w:val="0"/>
      <w:marRight w:val="0"/>
      <w:marTop w:val="0"/>
      <w:marBottom w:val="0"/>
      <w:divBdr>
        <w:top w:val="none" w:sz="0" w:space="0" w:color="auto"/>
        <w:left w:val="none" w:sz="0" w:space="0" w:color="auto"/>
        <w:bottom w:val="none" w:sz="0" w:space="0" w:color="auto"/>
        <w:right w:val="none" w:sz="0" w:space="0" w:color="auto"/>
      </w:divBdr>
    </w:div>
    <w:div w:id="888689485">
      <w:bodyDiv w:val="1"/>
      <w:marLeft w:val="0"/>
      <w:marRight w:val="0"/>
      <w:marTop w:val="0"/>
      <w:marBottom w:val="0"/>
      <w:divBdr>
        <w:top w:val="none" w:sz="0" w:space="0" w:color="auto"/>
        <w:left w:val="none" w:sz="0" w:space="0" w:color="auto"/>
        <w:bottom w:val="none" w:sz="0" w:space="0" w:color="auto"/>
        <w:right w:val="none" w:sz="0" w:space="0" w:color="auto"/>
      </w:divBdr>
    </w:div>
    <w:div w:id="891618953">
      <w:bodyDiv w:val="1"/>
      <w:marLeft w:val="0"/>
      <w:marRight w:val="0"/>
      <w:marTop w:val="0"/>
      <w:marBottom w:val="0"/>
      <w:divBdr>
        <w:top w:val="none" w:sz="0" w:space="0" w:color="auto"/>
        <w:left w:val="none" w:sz="0" w:space="0" w:color="auto"/>
        <w:bottom w:val="none" w:sz="0" w:space="0" w:color="auto"/>
        <w:right w:val="none" w:sz="0" w:space="0" w:color="auto"/>
      </w:divBdr>
    </w:div>
    <w:div w:id="895970575">
      <w:bodyDiv w:val="1"/>
      <w:marLeft w:val="0"/>
      <w:marRight w:val="0"/>
      <w:marTop w:val="0"/>
      <w:marBottom w:val="0"/>
      <w:divBdr>
        <w:top w:val="none" w:sz="0" w:space="0" w:color="auto"/>
        <w:left w:val="none" w:sz="0" w:space="0" w:color="auto"/>
        <w:bottom w:val="none" w:sz="0" w:space="0" w:color="auto"/>
        <w:right w:val="none" w:sz="0" w:space="0" w:color="auto"/>
      </w:divBdr>
    </w:div>
    <w:div w:id="901522713">
      <w:bodyDiv w:val="1"/>
      <w:marLeft w:val="0"/>
      <w:marRight w:val="0"/>
      <w:marTop w:val="0"/>
      <w:marBottom w:val="0"/>
      <w:divBdr>
        <w:top w:val="none" w:sz="0" w:space="0" w:color="auto"/>
        <w:left w:val="none" w:sz="0" w:space="0" w:color="auto"/>
        <w:bottom w:val="none" w:sz="0" w:space="0" w:color="auto"/>
        <w:right w:val="none" w:sz="0" w:space="0" w:color="auto"/>
      </w:divBdr>
      <w:divsChild>
        <w:div w:id="1508136027">
          <w:marLeft w:val="0"/>
          <w:marRight w:val="0"/>
          <w:marTop w:val="0"/>
          <w:marBottom w:val="0"/>
          <w:divBdr>
            <w:top w:val="none" w:sz="0" w:space="0" w:color="auto"/>
            <w:left w:val="none" w:sz="0" w:space="0" w:color="auto"/>
            <w:bottom w:val="none" w:sz="0" w:space="0" w:color="auto"/>
            <w:right w:val="none" w:sz="0" w:space="0" w:color="auto"/>
          </w:divBdr>
        </w:div>
      </w:divsChild>
    </w:div>
    <w:div w:id="901795451">
      <w:bodyDiv w:val="1"/>
      <w:marLeft w:val="0"/>
      <w:marRight w:val="0"/>
      <w:marTop w:val="0"/>
      <w:marBottom w:val="0"/>
      <w:divBdr>
        <w:top w:val="none" w:sz="0" w:space="0" w:color="auto"/>
        <w:left w:val="none" w:sz="0" w:space="0" w:color="auto"/>
        <w:bottom w:val="none" w:sz="0" w:space="0" w:color="auto"/>
        <w:right w:val="none" w:sz="0" w:space="0" w:color="auto"/>
      </w:divBdr>
      <w:divsChild>
        <w:div w:id="1976326665">
          <w:marLeft w:val="0"/>
          <w:marRight w:val="0"/>
          <w:marTop w:val="0"/>
          <w:marBottom w:val="0"/>
          <w:divBdr>
            <w:top w:val="none" w:sz="0" w:space="0" w:color="auto"/>
            <w:left w:val="none" w:sz="0" w:space="0" w:color="auto"/>
            <w:bottom w:val="none" w:sz="0" w:space="0" w:color="auto"/>
            <w:right w:val="none" w:sz="0" w:space="0" w:color="auto"/>
          </w:divBdr>
        </w:div>
      </w:divsChild>
    </w:div>
    <w:div w:id="909582385">
      <w:bodyDiv w:val="1"/>
      <w:marLeft w:val="0"/>
      <w:marRight w:val="0"/>
      <w:marTop w:val="0"/>
      <w:marBottom w:val="0"/>
      <w:divBdr>
        <w:top w:val="none" w:sz="0" w:space="0" w:color="auto"/>
        <w:left w:val="none" w:sz="0" w:space="0" w:color="auto"/>
        <w:bottom w:val="none" w:sz="0" w:space="0" w:color="auto"/>
        <w:right w:val="none" w:sz="0" w:space="0" w:color="auto"/>
      </w:divBdr>
    </w:div>
    <w:div w:id="912736196">
      <w:bodyDiv w:val="1"/>
      <w:marLeft w:val="0"/>
      <w:marRight w:val="0"/>
      <w:marTop w:val="0"/>
      <w:marBottom w:val="0"/>
      <w:divBdr>
        <w:top w:val="none" w:sz="0" w:space="0" w:color="auto"/>
        <w:left w:val="none" w:sz="0" w:space="0" w:color="auto"/>
        <w:bottom w:val="none" w:sz="0" w:space="0" w:color="auto"/>
        <w:right w:val="none" w:sz="0" w:space="0" w:color="auto"/>
      </w:divBdr>
    </w:div>
    <w:div w:id="915361108">
      <w:bodyDiv w:val="1"/>
      <w:marLeft w:val="0"/>
      <w:marRight w:val="0"/>
      <w:marTop w:val="0"/>
      <w:marBottom w:val="0"/>
      <w:divBdr>
        <w:top w:val="none" w:sz="0" w:space="0" w:color="auto"/>
        <w:left w:val="none" w:sz="0" w:space="0" w:color="auto"/>
        <w:bottom w:val="none" w:sz="0" w:space="0" w:color="auto"/>
        <w:right w:val="none" w:sz="0" w:space="0" w:color="auto"/>
      </w:divBdr>
    </w:div>
    <w:div w:id="928150797">
      <w:bodyDiv w:val="1"/>
      <w:marLeft w:val="0"/>
      <w:marRight w:val="0"/>
      <w:marTop w:val="0"/>
      <w:marBottom w:val="0"/>
      <w:divBdr>
        <w:top w:val="none" w:sz="0" w:space="0" w:color="auto"/>
        <w:left w:val="none" w:sz="0" w:space="0" w:color="auto"/>
        <w:bottom w:val="none" w:sz="0" w:space="0" w:color="auto"/>
        <w:right w:val="none" w:sz="0" w:space="0" w:color="auto"/>
      </w:divBdr>
    </w:div>
    <w:div w:id="946161559">
      <w:bodyDiv w:val="1"/>
      <w:marLeft w:val="0"/>
      <w:marRight w:val="0"/>
      <w:marTop w:val="0"/>
      <w:marBottom w:val="0"/>
      <w:divBdr>
        <w:top w:val="none" w:sz="0" w:space="0" w:color="auto"/>
        <w:left w:val="none" w:sz="0" w:space="0" w:color="auto"/>
        <w:bottom w:val="none" w:sz="0" w:space="0" w:color="auto"/>
        <w:right w:val="none" w:sz="0" w:space="0" w:color="auto"/>
      </w:divBdr>
    </w:div>
    <w:div w:id="946275216">
      <w:bodyDiv w:val="1"/>
      <w:marLeft w:val="0"/>
      <w:marRight w:val="0"/>
      <w:marTop w:val="0"/>
      <w:marBottom w:val="0"/>
      <w:divBdr>
        <w:top w:val="none" w:sz="0" w:space="0" w:color="auto"/>
        <w:left w:val="none" w:sz="0" w:space="0" w:color="auto"/>
        <w:bottom w:val="none" w:sz="0" w:space="0" w:color="auto"/>
        <w:right w:val="none" w:sz="0" w:space="0" w:color="auto"/>
      </w:divBdr>
    </w:div>
    <w:div w:id="953291075">
      <w:bodyDiv w:val="1"/>
      <w:marLeft w:val="0"/>
      <w:marRight w:val="0"/>
      <w:marTop w:val="0"/>
      <w:marBottom w:val="0"/>
      <w:divBdr>
        <w:top w:val="none" w:sz="0" w:space="0" w:color="auto"/>
        <w:left w:val="none" w:sz="0" w:space="0" w:color="auto"/>
        <w:bottom w:val="none" w:sz="0" w:space="0" w:color="auto"/>
        <w:right w:val="none" w:sz="0" w:space="0" w:color="auto"/>
      </w:divBdr>
    </w:div>
    <w:div w:id="955406262">
      <w:bodyDiv w:val="1"/>
      <w:marLeft w:val="0"/>
      <w:marRight w:val="0"/>
      <w:marTop w:val="0"/>
      <w:marBottom w:val="0"/>
      <w:divBdr>
        <w:top w:val="none" w:sz="0" w:space="0" w:color="auto"/>
        <w:left w:val="none" w:sz="0" w:space="0" w:color="auto"/>
        <w:bottom w:val="none" w:sz="0" w:space="0" w:color="auto"/>
        <w:right w:val="none" w:sz="0" w:space="0" w:color="auto"/>
      </w:divBdr>
    </w:div>
    <w:div w:id="966593675">
      <w:bodyDiv w:val="1"/>
      <w:marLeft w:val="0"/>
      <w:marRight w:val="0"/>
      <w:marTop w:val="0"/>
      <w:marBottom w:val="0"/>
      <w:divBdr>
        <w:top w:val="none" w:sz="0" w:space="0" w:color="auto"/>
        <w:left w:val="none" w:sz="0" w:space="0" w:color="auto"/>
        <w:bottom w:val="none" w:sz="0" w:space="0" w:color="auto"/>
        <w:right w:val="none" w:sz="0" w:space="0" w:color="auto"/>
      </w:divBdr>
      <w:divsChild>
        <w:div w:id="129252261">
          <w:marLeft w:val="0"/>
          <w:marRight w:val="0"/>
          <w:marTop w:val="0"/>
          <w:marBottom w:val="0"/>
          <w:divBdr>
            <w:top w:val="none" w:sz="0" w:space="0" w:color="auto"/>
            <w:left w:val="none" w:sz="0" w:space="0" w:color="auto"/>
            <w:bottom w:val="none" w:sz="0" w:space="0" w:color="auto"/>
            <w:right w:val="none" w:sz="0" w:space="0" w:color="auto"/>
          </w:divBdr>
        </w:div>
        <w:div w:id="225460787">
          <w:marLeft w:val="0"/>
          <w:marRight w:val="0"/>
          <w:marTop w:val="0"/>
          <w:marBottom w:val="0"/>
          <w:divBdr>
            <w:top w:val="none" w:sz="0" w:space="0" w:color="auto"/>
            <w:left w:val="none" w:sz="0" w:space="0" w:color="auto"/>
            <w:bottom w:val="none" w:sz="0" w:space="0" w:color="auto"/>
            <w:right w:val="none" w:sz="0" w:space="0" w:color="auto"/>
          </w:divBdr>
        </w:div>
        <w:div w:id="668993241">
          <w:marLeft w:val="0"/>
          <w:marRight w:val="0"/>
          <w:marTop w:val="0"/>
          <w:marBottom w:val="0"/>
          <w:divBdr>
            <w:top w:val="none" w:sz="0" w:space="0" w:color="auto"/>
            <w:left w:val="none" w:sz="0" w:space="0" w:color="auto"/>
            <w:bottom w:val="none" w:sz="0" w:space="0" w:color="auto"/>
            <w:right w:val="none" w:sz="0" w:space="0" w:color="auto"/>
          </w:divBdr>
        </w:div>
        <w:div w:id="685178961">
          <w:marLeft w:val="0"/>
          <w:marRight w:val="0"/>
          <w:marTop w:val="0"/>
          <w:marBottom w:val="0"/>
          <w:divBdr>
            <w:top w:val="none" w:sz="0" w:space="0" w:color="auto"/>
            <w:left w:val="none" w:sz="0" w:space="0" w:color="auto"/>
            <w:bottom w:val="none" w:sz="0" w:space="0" w:color="auto"/>
            <w:right w:val="none" w:sz="0" w:space="0" w:color="auto"/>
          </w:divBdr>
        </w:div>
        <w:div w:id="1340959767">
          <w:marLeft w:val="0"/>
          <w:marRight w:val="0"/>
          <w:marTop w:val="0"/>
          <w:marBottom w:val="0"/>
          <w:divBdr>
            <w:top w:val="none" w:sz="0" w:space="0" w:color="auto"/>
            <w:left w:val="none" w:sz="0" w:space="0" w:color="auto"/>
            <w:bottom w:val="none" w:sz="0" w:space="0" w:color="auto"/>
            <w:right w:val="none" w:sz="0" w:space="0" w:color="auto"/>
          </w:divBdr>
        </w:div>
        <w:div w:id="1351756555">
          <w:marLeft w:val="0"/>
          <w:marRight w:val="0"/>
          <w:marTop w:val="0"/>
          <w:marBottom w:val="0"/>
          <w:divBdr>
            <w:top w:val="none" w:sz="0" w:space="0" w:color="auto"/>
            <w:left w:val="none" w:sz="0" w:space="0" w:color="auto"/>
            <w:bottom w:val="none" w:sz="0" w:space="0" w:color="auto"/>
            <w:right w:val="none" w:sz="0" w:space="0" w:color="auto"/>
          </w:divBdr>
        </w:div>
        <w:div w:id="1374185333">
          <w:marLeft w:val="0"/>
          <w:marRight w:val="0"/>
          <w:marTop w:val="0"/>
          <w:marBottom w:val="0"/>
          <w:divBdr>
            <w:top w:val="none" w:sz="0" w:space="0" w:color="auto"/>
            <w:left w:val="none" w:sz="0" w:space="0" w:color="auto"/>
            <w:bottom w:val="none" w:sz="0" w:space="0" w:color="auto"/>
            <w:right w:val="none" w:sz="0" w:space="0" w:color="auto"/>
          </w:divBdr>
        </w:div>
        <w:div w:id="1829008783">
          <w:marLeft w:val="0"/>
          <w:marRight w:val="0"/>
          <w:marTop w:val="0"/>
          <w:marBottom w:val="0"/>
          <w:divBdr>
            <w:top w:val="none" w:sz="0" w:space="0" w:color="auto"/>
            <w:left w:val="none" w:sz="0" w:space="0" w:color="auto"/>
            <w:bottom w:val="none" w:sz="0" w:space="0" w:color="auto"/>
            <w:right w:val="none" w:sz="0" w:space="0" w:color="auto"/>
          </w:divBdr>
        </w:div>
        <w:div w:id="2006936748">
          <w:marLeft w:val="0"/>
          <w:marRight w:val="0"/>
          <w:marTop w:val="0"/>
          <w:marBottom w:val="0"/>
          <w:divBdr>
            <w:top w:val="none" w:sz="0" w:space="0" w:color="auto"/>
            <w:left w:val="none" w:sz="0" w:space="0" w:color="auto"/>
            <w:bottom w:val="none" w:sz="0" w:space="0" w:color="auto"/>
            <w:right w:val="none" w:sz="0" w:space="0" w:color="auto"/>
          </w:divBdr>
        </w:div>
        <w:div w:id="2103182709">
          <w:marLeft w:val="0"/>
          <w:marRight w:val="0"/>
          <w:marTop w:val="0"/>
          <w:marBottom w:val="0"/>
          <w:divBdr>
            <w:top w:val="none" w:sz="0" w:space="0" w:color="auto"/>
            <w:left w:val="none" w:sz="0" w:space="0" w:color="auto"/>
            <w:bottom w:val="none" w:sz="0" w:space="0" w:color="auto"/>
            <w:right w:val="none" w:sz="0" w:space="0" w:color="auto"/>
          </w:divBdr>
        </w:div>
      </w:divsChild>
    </w:div>
    <w:div w:id="977950671">
      <w:bodyDiv w:val="1"/>
      <w:marLeft w:val="0"/>
      <w:marRight w:val="0"/>
      <w:marTop w:val="0"/>
      <w:marBottom w:val="0"/>
      <w:divBdr>
        <w:top w:val="none" w:sz="0" w:space="0" w:color="auto"/>
        <w:left w:val="none" w:sz="0" w:space="0" w:color="auto"/>
        <w:bottom w:val="none" w:sz="0" w:space="0" w:color="auto"/>
        <w:right w:val="none" w:sz="0" w:space="0" w:color="auto"/>
      </w:divBdr>
    </w:div>
    <w:div w:id="978805893">
      <w:bodyDiv w:val="1"/>
      <w:marLeft w:val="0"/>
      <w:marRight w:val="0"/>
      <w:marTop w:val="0"/>
      <w:marBottom w:val="0"/>
      <w:divBdr>
        <w:top w:val="none" w:sz="0" w:space="0" w:color="auto"/>
        <w:left w:val="none" w:sz="0" w:space="0" w:color="auto"/>
        <w:bottom w:val="none" w:sz="0" w:space="0" w:color="auto"/>
        <w:right w:val="none" w:sz="0" w:space="0" w:color="auto"/>
      </w:divBdr>
    </w:div>
    <w:div w:id="984815543">
      <w:bodyDiv w:val="1"/>
      <w:marLeft w:val="0"/>
      <w:marRight w:val="0"/>
      <w:marTop w:val="0"/>
      <w:marBottom w:val="0"/>
      <w:divBdr>
        <w:top w:val="none" w:sz="0" w:space="0" w:color="auto"/>
        <w:left w:val="none" w:sz="0" w:space="0" w:color="auto"/>
        <w:bottom w:val="none" w:sz="0" w:space="0" w:color="auto"/>
        <w:right w:val="none" w:sz="0" w:space="0" w:color="auto"/>
      </w:divBdr>
    </w:div>
    <w:div w:id="988749670">
      <w:bodyDiv w:val="1"/>
      <w:marLeft w:val="0"/>
      <w:marRight w:val="0"/>
      <w:marTop w:val="0"/>
      <w:marBottom w:val="0"/>
      <w:divBdr>
        <w:top w:val="none" w:sz="0" w:space="0" w:color="auto"/>
        <w:left w:val="none" w:sz="0" w:space="0" w:color="auto"/>
        <w:bottom w:val="none" w:sz="0" w:space="0" w:color="auto"/>
        <w:right w:val="none" w:sz="0" w:space="0" w:color="auto"/>
      </w:divBdr>
    </w:div>
    <w:div w:id="994996769">
      <w:bodyDiv w:val="1"/>
      <w:marLeft w:val="0"/>
      <w:marRight w:val="0"/>
      <w:marTop w:val="0"/>
      <w:marBottom w:val="0"/>
      <w:divBdr>
        <w:top w:val="none" w:sz="0" w:space="0" w:color="auto"/>
        <w:left w:val="none" w:sz="0" w:space="0" w:color="auto"/>
        <w:bottom w:val="none" w:sz="0" w:space="0" w:color="auto"/>
        <w:right w:val="none" w:sz="0" w:space="0" w:color="auto"/>
      </w:divBdr>
    </w:div>
    <w:div w:id="998847626">
      <w:bodyDiv w:val="1"/>
      <w:marLeft w:val="0"/>
      <w:marRight w:val="0"/>
      <w:marTop w:val="0"/>
      <w:marBottom w:val="0"/>
      <w:divBdr>
        <w:top w:val="none" w:sz="0" w:space="0" w:color="auto"/>
        <w:left w:val="none" w:sz="0" w:space="0" w:color="auto"/>
        <w:bottom w:val="none" w:sz="0" w:space="0" w:color="auto"/>
        <w:right w:val="none" w:sz="0" w:space="0" w:color="auto"/>
      </w:divBdr>
    </w:div>
    <w:div w:id="1001396920">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005786289">
      <w:bodyDiv w:val="1"/>
      <w:marLeft w:val="0"/>
      <w:marRight w:val="0"/>
      <w:marTop w:val="0"/>
      <w:marBottom w:val="0"/>
      <w:divBdr>
        <w:top w:val="none" w:sz="0" w:space="0" w:color="auto"/>
        <w:left w:val="none" w:sz="0" w:space="0" w:color="auto"/>
        <w:bottom w:val="none" w:sz="0" w:space="0" w:color="auto"/>
        <w:right w:val="none" w:sz="0" w:space="0" w:color="auto"/>
      </w:divBdr>
    </w:div>
    <w:div w:id="1006320273">
      <w:bodyDiv w:val="1"/>
      <w:marLeft w:val="0"/>
      <w:marRight w:val="0"/>
      <w:marTop w:val="0"/>
      <w:marBottom w:val="0"/>
      <w:divBdr>
        <w:top w:val="none" w:sz="0" w:space="0" w:color="auto"/>
        <w:left w:val="none" w:sz="0" w:space="0" w:color="auto"/>
        <w:bottom w:val="none" w:sz="0" w:space="0" w:color="auto"/>
        <w:right w:val="none" w:sz="0" w:space="0" w:color="auto"/>
      </w:divBdr>
    </w:div>
    <w:div w:id="1020474084">
      <w:bodyDiv w:val="1"/>
      <w:marLeft w:val="0"/>
      <w:marRight w:val="0"/>
      <w:marTop w:val="0"/>
      <w:marBottom w:val="0"/>
      <w:divBdr>
        <w:top w:val="none" w:sz="0" w:space="0" w:color="auto"/>
        <w:left w:val="none" w:sz="0" w:space="0" w:color="auto"/>
        <w:bottom w:val="none" w:sz="0" w:space="0" w:color="auto"/>
        <w:right w:val="none" w:sz="0" w:space="0" w:color="auto"/>
      </w:divBdr>
    </w:div>
    <w:div w:id="1021277070">
      <w:bodyDiv w:val="1"/>
      <w:marLeft w:val="0"/>
      <w:marRight w:val="0"/>
      <w:marTop w:val="0"/>
      <w:marBottom w:val="0"/>
      <w:divBdr>
        <w:top w:val="none" w:sz="0" w:space="0" w:color="auto"/>
        <w:left w:val="none" w:sz="0" w:space="0" w:color="auto"/>
        <w:bottom w:val="none" w:sz="0" w:space="0" w:color="auto"/>
        <w:right w:val="none" w:sz="0" w:space="0" w:color="auto"/>
      </w:divBdr>
      <w:divsChild>
        <w:div w:id="868491821">
          <w:marLeft w:val="0"/>
          <w:marRight w:val="0"/>
          <w:marTop w:val="0"/>
          <w:marBottom w:val="0"/>
          <w:divBdr>
            <w:top w:val="none" w:sz="0" w:space="0" w:color="auto"/>
            <w:left w:val="none" w:sz="0" w:space="0" w:color="auto"/>
            <w:bottom w:val="none" w:sz="0" w:space="0" w:color="auto"/>
            <w:right w:val="none" w:sz="0" w:space="0" w:color="auto"/>
          </w:divBdr>
        </w:div>
      </w:divsChild>
    </w:div>
    <w:div w:id="1035739324">
      <w:bodyDiv w:val="1"/>
      <w:marLeft w:val="0"/>
      <w:marRight w:val="0"/>
      <w:marTop w:val="0"/>
      <w:marBottom w:val="0"/>
      <w:divBdr>
        <w:top w:val="none" w:sz="0" w:space="0" w:color="auto"/>
        <w:left w:val="none" w:sz="0" w:space="0" w:color="auto"/>
        <w:bottom w:val="none" w:sz="0" w:space="0" w:color="auto"/>
        <w:right w:val="none" w:sz="0" w:space="0" w:color="auto"/>
      </w:divBdr>
    </w:div>
    <w:div w:id="1037894383">
      <w:bodyDiv w:val="1"/>
      <w:marLeft w:val="0"/>
      <w:marRight w:val="0"/>
      <w:marTop w:val="0"/>
      <w:marBottom w:val="0"/>
      <w:divBdr>
        <w:top w:val="none" w:sz="0" w:space="0" w:color="auto"/>
        <w:left w:val="none" w:sz="0" w:space="0" w:color="auto"/>
        <w:bottom w:val="none" w:sz="0" w:space="0" w:color="auto"/>
        <w:right w:val="none" w:sz="0" w:space="0" w:color="auto"/>
      </w:divBdr>
    </w:div>
    <w:div w:id="1041127051">
      <w:bodyDiv w:val="1"/>
      <w:marLeft w:val="0"/>
      <w:marRight w:val="0"/>
      <w:marTop w:val="0"/>
      <w:marBottom w:val="0"/>
      <w:divBdr>
        <w:top w:val="none" w:sz="0" w:space="0" w:color="auto"/>
        <w:left w:val="none" w:sz="0" w:space="0" w:color="auto"/>
        <w:bottom w:val="none" w:sz="0" w:space="0" w:color="auto"/>
        <w:right w:val="none" w:sz="0" w:space="0" w:color="auto"/>
      </w:divBdr>
    </w:div>
    <w:div w:id="1046485444">
      <w:bodyDiv w:val="1"/>
      <w:marLeft w:val="0"/>
      <w:marRight w:val="0"/>
      <w:marTop w:val="0"/>
      <w:marBottom w:val="0"/>
      <w:divBdr>
        <w:top w:val="none" w:sz="0" w:space="0" w:color="auto"/>
        <w:left w:val="none" w:sz="0" w:space="0" w:color="auto"/>
        <w:bottom w:val="none" w:sz="0" w:space="0" w:color="auto"/>
        <w:right w:val="none" w:sz="0" w:space="0" w:color="auto"/>
      </w:divBdr>
    </w:div>
    <w:div w:id="1048846735">
      <w:bodyDiv w:val="1"/>
      <w:marLeft w:val="0"/>
      <w:marRight w:val="0"/>
      <w:marTop w:val="0"/>
      <w:marBottom w:val="0"/>
      <w:divBdr>
        <w:top w:val="none" w:sz="0" w:space="0" w:color="auto"/>
        <w:left w:val="none" w:sz="0" w:space="0" w:color="auto"/>
        <w:bottom w:val="none" w:sz="0" w:space="0" w:color="auto"/>
        <w:right w:val="none" w:sz="0" w:space="0" w:color="auto"/>
      </w:divBdr>
    </w:div>
    <w:div w:id="1057051972">
      <w:bodyDiv w:val="1"/>
      <w:marLeft w:val="0"/>
      <w:marRight w:val="0"/>
      <w:marTop w:val="0"/>
      <w:marBottom w:val="0"/>
      <w:divBdr>
        <w:top w:val="none" w:sz="0" w:space="0" w:color="auto"/>
        <w:left w:val="none" w:sz="0" w:space="0" w:color="auto"/>
        <w:bottom w:val="none" w:sz="0" w:space="0" w:color="auto"/>
        <w:right w:val="none" w:sz="0" w:space="0" w:color="auto"/>
      </w:divBdr>
      <w:divsChild>
        <w:div w:id="1574318108">
          <w:marLeft w:val="0"/>
          <w:marRight w:val="0"/>
          <w:marTop w:val="0"/>
          <w:marBottom w:val="0"/>
          <w:divBdr>
            <w:top w:val="none" w:sz="0" w:space="0" w:color="auto"/>
            <w:left w:val="none" w:sz="0" w:space="0" w:color="auto"/>
            <w:bottom w:val="none" w:sz="0" w:space="0" w:color="auto"/>
            <w:right w:val="none" w:sz="0" w:space="0" w:color="auto"/>
          </w:divBdr>
        </w:div>
      </w:divsChild>
    </w:div>
    <w:div w:id="1058816922">
      <w:bodyDiv w:val="1"/>
      <w:marLeft w:val="0"/>
      <w:marRight w:val="0"/>
      <w:marTop w:val="0"/>
      <w:marBottom w:val="0"/>
      <w:divBdr>
        <w:top w:val="none" w:sz="0" w:space="0" w:color="auto"/>
        <w:left w:val="none" w:sz="0" w:space="0" w:color="auto"/>
        <w:bottom w:val="none" w:sz="0" w:space="0" w:color="auto"/>
        <w:right w:val="none" w:sz="0" w:space="0" w:color="auto"/>
      </w:divBdr>
    </w:div>
    <w:div w:id="1059329766">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82917825">
      <w:bodyDiv w:val="1"/>
      <w:marLeft w:val="0"/>
      <w:marRight w:val="0"/>
      <w:marTop w:val="0"/>
      <w:marBottom w:val="0"/>
      <w:divBdr>
        <w:top w:val="none" w:sz="0" w:space="0" w:color="auto"/>
        <w:left w:val="none" w:sz="0" w:space="0" w:color="auto"/>
        <w:bottom w:val="none" w:sz="0" w:space="0" w:color="auto"/>
        <w:right w:val="none" w:sz="0" w:space="0" w:color="auto"/>
      </w:divBdr>
    </w:div>
    <w:div w:id="1084567919">
      <w:bodyDiv w:val="1"/>
      <w:marLeft w:val="0"/>
      <w:marRight w:val="0"/>
      <w:marTop w:val="0"/>
      <w:marBottom w:val="0"/>
      <w:divBdr>
        <w:top w:val="none" w:sz="0" w:space="0" w:color="auto"/>
        <w:left w:val="none" w:sz="0" w:space="0" w:color="auto"/>
        <w:bottom w:val="none" w:sz="0" w:space="0" w:color="auto"/>
        <w:right w:val="none" w:sz="0" w:space="0" w:color="auto"/>
      </w:divBdr>
    </w:div>
    <w:div w:id="1087077440">
      <w:bodyDiv w:val="1"/>
      <w:marLeft w:val="0"/>
      <w:marRight w:val="0"/>
      <w:marTop w:val="0"/>
      <w:marBottom w:val="0"/>
      <w:divBdr>
        <w:top w:val="none" w:sz="0" w:space="0" w:color="auto"/>
        <w:left w:val="none" w:sz="0" w:space="0" w:color="auto"/>
        <w:bottom w:val="none" w:sz="0" w:space="0" w:color="auto"/>
        <w:right w:val="none" w:sz="0" w:space="0" w:color="auto"/>
      </w:divBdr>
    </w:div>
    <w:div w:id="1092973318">
      <w:bodyDiv w:val="1"/>
      <w:marLeft w:val="0"/>
      <w:marRight w:val="0"/>
      <w:marTop w:val="0"/>
      <w:marBottom w:val="0"/>
      <w:divBdr>
        <w:top w:val="none" w:sz="0" w:space="0" w:color="auto"/>
        <w:left w:val="none" w:sz="0" w:space="0" w:color="auto"/>
        <w:bottom w:val="none" w:sz="0" w:space="0" w:color="auto"/>
        <w:right w:val="none" w:sz="0" w:space="0" w:color="auto"/>
      </w:divBdr>
    </w:div>
    <w:div w:id="1093665211">
      <w:bodyDiv w:val="1"/>
      <w:marLeft w:val="0"/>
      <w:marRight w:val="0"/>
      <w:marTop w:val="0"/>
      <w:marBottom w:val="0"/>
      <w:divBdr>
        <w:top w:val="none" w:sz="0" w:space="0" w:color="auto"/>
        <w:left w:val="none" w:sz="0" w:space="0" w:color="auto"/>
        <w:bottom w:val="none" w:sz="0" w:space="0" w:color="auto"/>
        <w:right w:val="none" w:sz="0" w:space="0" w:color="auto"/>
      </w:divBdr>
    </w:div>
    <w:div w:id="1094784989">
      <w:bodyDiv w:val="1"/>
      <w:marLeft w:val="0"/>
      <w:marRight w:val="0"/>
      <w:marTop w:val="0"/>
      <w:marBottom w:val="0"/>
      <w:divBdr>
        <w:top w:val="none" w:sz="0" w:space="0" w:color="auto"/>
        <w:left w:val="none" w:sz="0" w:space="0" w:color="auto"/>
        <w:bottom w:val="none" w:sz="0" w:space="0" w:color="auto"/>
        <w:right w:val="none" w:sz="0" w:space="0" w:color="auto"/>
      </w:divBdr>
    </w:div>
    <w:div w:id="1099374105">
      <w:bodyDiv w:val="1"/>
      <w:marLeft w:val="0"/>
      <w:marRight w:val="0"/>
      <w:marTop w:val="0"/>
      <w:marBottom w:val="0"/>
      <w:divBdr>
        <w:top w:val="none" w:sz="0" w:space="0" w:color="auto"/>
        <w:left w:val="none" w:sz="0" w:space="0" w:color="auto"/>
        <w:bottom w:val="none" w:sz="0" w:space="0" w:color="auto"/>
        <w:right w:val="none" w:sz="0" w:space="0" w:color="auto"/>
      </w:divBdr>
    </w:div>
    <w:div w:id="1104808316">
      <w:bodyDiv w:val="1"/>
      <w:marLeft w:val="0"/>
      <w:marRight w:val="0"/>
      <w:marTop w:val="0"/>
      <w:marBottom w:val="0"/>
      <w:divBdr>
        <w:top w:val="none" w:sz="0" w:space="0" w:color="auto"/>
        <w:left w:val="none" w:sz="0" w:space="0" w:color="auto"/>
        <w:bottom w:val="none" w:sz="0" w:space="0" w:color="auto"/>
        <w:right w:val="none" w:sz="0" w:space="0" w:color="auto"/>
      </w:divBdr>
    </w:div>
    <w:div w:id="1106730754">
      <w:bodyDiv w:val="1"/>
      <w:marLeft w:val="0"/>
      <w:marRight w:val="0"/>
      <w:marTop w:val="0"/>
      <w:marBottom w:val="0"/>
      <w:divBdr>
        <w:top w:val="none" w:sz="0" w:space="0" w:color="auto"/>
        <w:left w:val="none" w:sz="0" w:space="0" w:color="auto"/>
        <w:bottom w:val="none" w:sz="0" w:space="0" w:color="auto"/>
        <w:right w:val="none" w:sz="0" w:space="0" w:color="auto"/>
      </w:divBdr>
    </w:div>
    <w:div w:id="1109737246">
      <w:bodyDiv w:val="1"/>
      <w:marLeft w:val="0"/>
      <w:marRight w:val="0"/>
      <w:marTop w:val="0"/>
      <w:marBottom w:val="0"/>
      <w:divBdr>
        <w:top w:val="none" w:sz="0" w:space="0" w:color="auto"/>
        <w:left w:val="none" w:sz="0" w:space="0" w:color="auto"/>
        <w:bottom w:val="none" w:sz="0" w:space="0" w:color="auto"/>
        <w:right w:val="none" w:sz="0" w:space="0" w:color="auto"/>
      </w:divBdr>
      <w:divsChild>
        <w:div w:id="1543396864">
          <w:marLeft w:val="0"/>
          <w:marRight w:val="0"/>
          <w:marTop w:val="0"/>
          <w:marBottom w:val="0"/>
          <w:divBdr>
            <w:top w:val="none" w:sz="0" w:space="0" w:color="auto"/>
            <w:left w:val="none" w:sz="0" w:space="0" w:color="auto"/>
            <w:bottom w:val="none" w:sz="0" w:space="0" w:color="auto"/>
            <w:right w:val="none" w:sz="0" w:space="0" w:color="auto"/>
          </w:divBdr>
          <w:divsChild>
            <w:div w:id="11852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412">
      <w:bodyDiv w:val="1"/>
      <w:marLeft w:val="0"/>
      <w:marRight w:val="0"/>
      <w:marTop w:val="0"/>
      <w:marBottom w:val="0"/>
      <w:divBdr>
        <w:top w:val="none" w:sz="0" w:space="0" w:color="auto"/>
        <w:left w:val="none" w:sz="0" w:space="0" w:color="auto"/>
        <w:bottom w:val="none" w:sz="0" w:space="0" w:color="auto"/>
        <w:right w:val="none" w:sz="0" w:space="0" w:color="auto"/>
      </w:divBdr>
      <w:divsChild>
        <w:div w:id="1494754246">
          <w:marLeft w:val="0"/>
          <w:marRight w:val="0"/>
          <w:marTop w:val="0"/>
          <w:marBottom w:val="0"/>
          <w:divBdr>
            <w:top w:val="none" w:sz="0" w:space="0" w:color="auto"/>
            <w:left w:val="none" w:sz="0" w:space="0" w:color="auto"/>
            <w:bottom w:val="none" w:sz="0" w:space="0" w:color="auto"/>
            <w:right w:val="none" w:sz="0" w:space="0" w:color="auto"/>
          </w:divBdr>
        </w:div>
        <w:div w:id="60564270">
          <w:marLeft w:val="0"/>
          <w:marRight w:val="0"/>
          <w:marTop w:val="0"/>
          <w:marBottom w:val="0"/>
          <w:divBdr>
            <w:top w:val="none" w:sz="0" w:space="0" w:color="auto"/>
            <w:left w:val="none" w:sz="0" w:space="0" w:color="auto"/>
            <w:bottom w:val="none" w:sz="0" w:space="0" w:color="auto"/>
            <w:right w:val="none" w:sz="0" w:space="0" w:color="auto"/>
          </w:divBdr>
        </w:div>
        <w:div w:id="734164808">
          <w:marLeft w:val="0"/>
          <w:marRight w:val="0"/>
          <w:marTop w:val="0"/>
          <w:marBottom w:val="0"/>
          <w:divBdr>
            <w:top w:val="none" w:sz="0" w:space="0" w:color="auto"/>
            <w:left w:val="none" w:sz="0" w:space="0" w:color="auto"/>
            <w:bottom w:val="none" w:sz="0" w:space="0" w:color="auto"/>
            <w:right w:val="none" w:sz="0" w:space="0" w:color="auto"/>
          </w:divBdr>
        </w:div>
        <w:div w:id="905918622">
          <w:marLeft w:val="0"/>
          <w:marRight w:val="0"/>
          <w:marTop w:val="0"/>
          <w:marBottom w:val="0"/>
          <w:divBdr>
            <w:top w:val="none" w:sz="0" w:space="0" w:color="auto"/>
            <w:left w:val="none" w:sz="0" w:space="0" w:color="auto"/>
            <w:bottom w:val="none" w:sz="0" w:space="0" w:color="auto"/>
            <w:right w:val="none" w:sz="0" w:space="0" w:color="auto"/>
          </w:divBdr>
        </w:div>
        <w:div w:id="418792691">
          <w:marLeft w:val="0"/>
          <w:marRight w:val="0"/>
          <w:marTop w:val="0"/>
          <w:marBottom w:val="0"/>
          <w:divBdr>
            <w:top w:val="none" w:sz="0" w:space="0" w:color="auto"/>
            <w:left w:val="none" w:sz="0" w:space="0" w:color="auto"/>
            <w:bottom w:val="none" w:sz="0" w:space="0" w:color="auto"/>
            <w:right w:val="none" w:sz="0" w:space="0" w:color="auto"/>
          </w:divBdr>
        </w:div>
        <w:div w:id="992107016">
          <w:marLeft w:val="0"/>
          <w:marRight w:val="0"/>
          <w:marTop w:val="0"/>
          <w:marBottom w:val="0"/>
          <w:divBdr>
            <w:top w:val="none" w:sz="0" w:space="0" w:color="auto"/>
            <w:left w:val="none" w:sz="0" w:space="0" w:color="auto"/>
            <w:bottom w:val="none" w:sz="0" w:space="0" w:color="auto"/>
            <w:right w:val="none" w:sz="0" w:space="0" w:color="auto"/>
          </w:divBdr>
        </w:div>
        <w:div w:id="47724219">
          <w:marLeft w:val="0"/>
          <w:marRight w:val="0"/>
          <w:marTop w:val="0"/>
          <w:marBottom w:val="0"/>
          <w:divBdr>
            <w:top w:val="none" w:sz="0" w:space="0" w:color="auto"/>
            <w:left w:val="none" w:sz="0" w:space="0" w:color="auto"/>
            <w:bottom w:val="none" w:sz="0" w:space="0" w:color="auto"/>
            <w:right w:val="none" w:sz="0" w:space="0" w:color="auto"/>
          </w:divBdr>
        </w:div>
      </w:divsChild>
    </w:div>
    <w:div w:id="1114053387">
      <w:bodyDiv w:val="1"/>
      <w:marLeft w:val="0"/>
      <w:marRight w:val="0"/>
      <w:marTop w:val="0"/>
      <w:marBottom w:val="0"/>
      <w:divBdr>
        <w:top w:val="none" w:sz="0" w:space="0" w:color="auto"/>
        <w:left w:val="none" w:sz="0" w:space="0" w:color="auto"/>
        <w:bottom w:val="none" w:sz="0" w:space="0" w:color="auto"/>
        <w:right w:val="none" w:sz="0" w:space="0" w:color="auto"/>
      </w:divBdr>
    </w:div>
    <w:div w:id="1118840069">
      <w:bodyDiv w:val="1"/>
      <w:marLeft w:val="0"/>
      <w:marRight w:val="0"/>
      <w:marTop w:val="0"/>
      <w:marBottom w:val="0"/>
      <w:divBdr>
        <w:top w:val="none" w:sz="0" w:space="0" w:color="auto"/>
        <w:left w:val="none" w:sz="0" w:space="0" w:color="auto"/>
        <w:bottom w:val="none" w:sz="0" w:space="0" w:color="auto"/>
        <w:right w:val="none" w:sz="0" w:space="0" w:color="auto"/>
      </w:divBdr>
    </w:div>
    <w:div w:id="1126852605">
      <w:bodyDiv w:val="1"/>
      <w:marLeft w:val="0"/>
      <w:marRight w:val="0"/>
      <w:marTop w:val="0"/>
      <w:marBottom w:val="0"/>
      <w:divBdr>
        <w:top w:val="none" w:sz="0" w:space="0" w:color="auto"/>
        <w:left w:val="none" w:sz="0" w:space="0" w:color="auto"/>
        <w:bottom w:val="none" w:sz="0" w:space="0" w:color="auto"/>
        <w:right w:val="none" w:sz="0" w:space="0" w:color="auto"/>
      </w:divBdr>
      <w:divsChild>
        <w:div w:id="183715170">
          <w:marLeft w:val="0"/>
          <w:marRight w:val="0"/>
          <w:marTop w:val="0"/>
          <w:marBottom w:val="0"/>
          <w:divBdr>
            <w:top w:val="none" w:sz="0" w:space="0" w:color="auto"/>
            <w:left w:val="none" w:sz="0" w:space="0" w:color="auto"/>
            <w:bottom w:val="none" w:sz="0" w:space="0" w:color="auto"/>
            <w:right w:val="none" w:sz="0" w:space="0" w:color="auto"/>
          </w:divBdr>
        </w:div>
        <w:div w:id="521210721">
          <w:marLeft w:val="0"/>
          <w:marRight w:val="0"/>
          <w:marTop w:val="0"/>
          <w:marBottom w:val="0"/>
          <w:divBdr>
            <w:top w:val="none" w:sz="0" w:space="0" w:color="auto"/>
            <w:left w:val="none" w:sz="0" w:space="0" w:color="auto"/>
            <w:bottom w:val="none" w:sz="0" w:space="0" w:color="auto"/>
            <w:right w:val="none" w:sz="0" w:space="0" w:color="auto"/>
          </w:divBdr>
        </w:div>
        <w:div w:id="580257886">
          <w:marLeft w:val="0"/>
          <w:marRight w:val="0"/>
          <w:marTop w:val="0"/>
          <w:marBottom w:val="0"/>
          <w:divBdr>
            <w:top w:val="none" w:sz="0" w:space="0" w:color="auto"/>
            <w:left w:val="none" w:sz="0" w:space="0" w:color="auto"/>
            <w:bottom w:val="none" w:sz="0" w:space="0" w:color="auto"/>
            <w:right w:val="none" w:sz="0" w:space="0" w:color="auto"/>
          </w:divBdr>
        </w:div>
        <w:div w:id="609824763">
          <w:marLeft w:val="0"/>
          <w:marRight w:val="0"/>
          <w:marTop w:val="0"/>
          <w:marBottom w:val="0"/>
          <w:divBdr>
            <w:top w:val="none" w:sz="0" w:space="0" w:color="auto"/>
            <w:left w:val="none" w:sz="0" w:space="0" w:color="auto"/>
            <w:bottom w:val="none" w:sz="0" w:space="0" w:color="auto"/>
            <w:right w:val="none" w:sz="0" w:space="0" w:color="auto"/>
          </w:divBdr>
        </w:div>
        <w:div w:id="610940289">
          <w:marLeft w:val="0"/>
          <w:marRight w:val="0"/>
          <w:marTop w:val="0"/>
          <w:marBottom w:val="0"/>
          <w:divBdr>
            <w:top w:val="none" w:sz="0" w:space="0" w:color="auto"/>
            <w:left w:val="none" w:sz="0" w:space="0" w:color="auto"/>
            <w:bottom w:val="none" w:sz="0" w:space="0" w:color="auto"/>
            <w:right w:val="none" w:sz="0" w:space="0" w:color="auto"/>
          </w:divBdr>
        </w:div>
        <w:div w:id="631131158">
          <w:marLeft w:val="0"/>
          <w:marRight w:val="0"/>
          <w:marTop w:val="0"/>
          <w:marBottom w:val="0"/>
          <w:divBdr>
            <w:top w:val="none" w:sz="0" w:space="0" w:color="auto"/>
            <w:left w:val="none" w:sz="0" w:space="0" w:color="auto"/>
            <w:bottom w:val="none" w:sz="0" w:space="0" w:color="auto"/>
            <w:right w:val="none" w:sz="0" w:space="0" w:color="auto"/>
          </w:divBdr>
        </w:div>
        <w:div w:id="889075255">
          <w:marLeft w:val="0"/>
          <w:marRight w:val="0"/>
          <w:marTop w:val="0"/>
          <w:marBottom w:val="0"/>
          <w:divBdr>
            <w:top w:val="none" w:sz="0" w:space="0" w:color="auto"/>
            <w:left w:val="none" w:sz="0" w:space="0" w:color="auto"/>
            <w:bottom w:val="none" w:sz="0" w:space="0" w:color="auto"/>
            <w:right w:val="none" w:sz="0" w:space="0" w:color="auto"/>
          </w:divBdr>
        </w:div>
        <w:div w:id="904681383">
          <w:marLeft w:val="0"/>
          <w:marRight w:val="0"/>
          <w:marTop w:val="0"/>
          <w:marBottom w:val="0"/>
          <w:divBdr>
            <w:top w:val="none" w:sz="0" w:space="0" w:color="auto"/>
            <w:left w:val="none" w:sz="0" w:space="0" w:color="auto"/>
            <w:bottom w:val="none" w:sz="0" w:space="0" w:color="auto"/>
            <w:right w:val="none" w:sz="0" w:space="0" w:color="auto"/>
          </w:divBdr>
        </w:div>
        <w:div w:id="1286809664">
          <w:marLeft w:val="0"/>
          <w:marRight w:val="0"/>
          <w:marTop w:val="0"/>
          <w:marBottom w:val="0"/>
          <w:divBdr>
            <w:top w:val="none" w:sz="0" w:space="0" w:color="auto"/>
            <w:left w:val="none" w:sz="0" w:space="0" w:color="auto"/>
            <w:bottom w:val="none" w:sz="0" w:space="0" w:color="auto"/>
            <w:right w:val="none" w:sz="0" w:space="0" w:color="auto"/>
          </w:divBdr>
        </w:div>
        <w:div w:id="1326010637">
          <w:marLeft w:val="0"/>
          <w:marRight w:val="0"/>
          <w:marTop w:val="0"/>
          <w:marBottom w:val="0"/>
          <w:divBdr>
            <w:top w:val="none" w:sz="0" w:space="0" w:color="auto"/>
            <w:left w:val="none" w:sz="0" w:space="0" w:color="auto"/>
            <w:bottom w:val="none" w:sz="0" w:space="0" w:color="auto"/>
            <w:right w:val="none" w:sz="0" w:space="0" w:color="auto"/>
          </w:divBdr>
        </w:div>
        <w:div w:id="1335307100">
          <w:marLeft w:val="0"/>
          <w:marRight w:val="0"/>
          <w:marTop w:val="0"/>
          <w:marBottom w:val="0"/>
          <w:divBdr>
            <w:top w:val="none" w:sz="0" w:space="0" w:color="auto"/>
            <w:left w:val="none" w:sz="0" w:space="0" w:color="auto"/>
            <w:bottom w:val="none" w:sz="0" w:space="0" w:color="auto"/>
            <w:right w:val="none" w:sz="0" w:space="0" w:color="auto"/>
          </w:divBdr>
        </w:div>
        <w:div w:id="1358195975">
          <w:marLeft w:val="0"/>
          <w:marRight w:val="0"/>
          <w:marTop w:val="0"/>
          <w:marBottom w:val="0"/>
          <w:divBdr>
            <w:top w:val="none" w:sz="0" w:space="0" w:color="auto"/>
            <w:left w:val="none" w:sz="0" w:space="0" w:color="auto"/>
            <w:bottom w:val="none" w:sz="0" w:space="0" w:color="auto"/>
            <w:right w:val="none" w:sz="0" w:space="0" w:color="auto"/>
          </w:divBdr>
        </w:div>
        <w:div w:id="1417899160">
          <w:marLeft w:val="0"/>
          <w:marRight w:val="0"/>
          <w:marTop w:val="0"/>
          <w:marBottom w:val="0"/>
          <w:divBdr>
            <w:top w:val="none" w:sz="0" w:space="0" w:color="auto"/>
            <w:left w:val="none" w:sz="0" w:space="0" w:color="auto"/>
            <w:bottom w:val="none" w:sz="0" w:space="0" w:color="auto"/>
            <w:right w:val="none" w:sz="0" w:space="0" w:color="auto"/>
          </w:divBdr>
        </w:div>
        <w:div w:id="1622417641">
          <w:marLeft w:val="0"/>
          <w:marRight w:val="0"/>
          <w:marTop w:val="0"/>
          <w:marBottom w:val="0"/>
          <w:divBdr>
            <w:top w:val="none" w:sz="0" w:space="0" w:color="auto"/>
            <w:left w:val="none" w:sz="0" w:space="0" w:color="auto"/>
            <w:bottom w:val="none" w:sz="0" w:space="0" w:color="auto"/>
            <w:right w:val="none" w:sz="0" w:space="0" w:color="auto"/>
          </w:divBdr>
        </w:div>
        <w:div w:id="1910575874">
          <w:marLeft w:val="0"/>
          <w:marRight w:val="0"/>
          <w:marTop w:val="0"/>
          <w:marBottom w:val="0"/>
          <w:divBdr>
            <w:top w:val="none" w:sz="0" w:space="0" w:color="auto"/>
            <w:left w:val="none" w:sz="0" w:space="0" w:color="auto"/>
            <w:bottom w:val="none" w:sz="0" w:space="0" w:color="auto"/>
            <w:right w:val="none" w:sz="0" w:space="0" w:color="auto"/>
          </w:divBdr>
        </w:div>
        <w:div w:id="1971470837">
          <w:marLeft w:val="0"/>
          <w:marRight w:val="0"/>
          <w:marTop w:val="0"/>
          <w:marBottom w:val="0"/>
          <w:divBdr>
            <w:top w:val="none" w:sz="0" w:space="0" w:color="auto"/>
            <w:left w:val="none" w:sz="0" w:space="0" w:color="auto"/>
            <w:bottom w:val="none" w:sz="0" w:space="0" w:color="auto"/>
            <w:right w:val="none" w:sz="0" w:space="0" w:color="auto"/>
          </w:divBdr>
        </w:div>
        <w:div w:id="2015648822">
          <w:marLeft w:val="0"/>
          <w:marRight w:val="0"/>
          <w:marTop w:val="0"/>
          <w:marBottom w:val="0"/>
          <w:divBdr>
            <w:top w:val="none" w:sz="0" w:space="0" w:color="auto"/>
            <w:left w:val="none" w:sz="0" w:space="0" w:color="auto"/>
            <w:bottom w:val="none" w:sz="0" w:space="0" w:color="auto"/>
            <w:right w:val="none" w:sz="0" w:space="0" w:color="auto"/>
          </w:divBdr>
        </w:div>
        <w:div w:id="2118937558">
          <w:marLeft w:val="0"/>
          <w:marRight w:val="0"/>
          <w:marTop w:val="0"/>
          <w:marBottom w:val="0"/>
          <w:divBdr>
            <w:top w:val="none" w:sz="0" w:space="0" w:color="auto"/>
            <w:left w:val="none" w:sz="0" w:space="0" w:color="auto"/>
            <w:bottom w:val="none" w:sz="0" w:space="0" w:color="auto"/>
            <w:right w:val="none" w:sz="0" w:space="0" w:color="auto"/>
          </w:divBdr>
        </w:div>
      </w:divsChild>
    </w:div>
    <w:div w:id="1128820487">
      <w:bodyDiv w:val="1"/>
      <w:marLeft w:val="0"/>
      <w:marRight w:val="0"/>
      <w:marTop w:val="0"/>
      <w:marBottom w:val="0"/>
      <w:divBdr>
        <w:top w:val="none" w:sz="0" w:space="0" w:color="auto"/>
        <w:left w:val="none" w:sz="0" w:space="0" w:color="auto"/>
        <w:bottom w:val="none" w:sz="0" w:space="0" w:color="auto"/>
        <w:right w:val="none" w:sz="0" w:space="0" w:color="auto"/>
      </w:divBdr>
    </w:div>
    <w:div w:id="1133402906">
      <w:bodyDiv w:val="1"/>
      <w:marLeft w:val="0"/>
      <w:marRight w:val="0"/>
      <w:marTop w:val="0"/>
      <w:marBottom w:val="0"/>
      <w:divBdr>
        <w:top w:val="none" w:sz="0" w:space="0" w:color="auto"/>
        <w:left w:val="none" w:sz="0" w:space="0" w:color="auto"/>
        <w:bottom w:val="none" w:sz="0" w:space="0" w:color="auto"/>
        <w:right w:val="none" w:sz="0" w:space="0" w:color="auto"/>
      </w:divBdr>
    </w:div>
    <w:div w:id="1134059475">
      <w:bodyDiv w:val="1"/>
      <w:marLeft w:val="0"/>
      <w:marRight w:val="0"/>
      <w:marTop w:val="0"/>
      <w:marBottom w:val="0"/>
      <w:divBdr>
        <w:top w:val="none" w:sz="0" w:space="0" w:color="auto"/>
        <w:left w:val="none" w:sz="0" w:space="0" w:color="auto"/>
        <w:bottom w:val="none" w:sz="0" w:space="0" w:color="auto"/>
        <w:right w:val="none" w:sz="0" w:space="0" w:color="auto"/>
      </w:divBdr>
    </w:div>
    <w:div w:id="1137181718">
      <w:bodyDiv w:val="1"/>
      <w:marLeft w:val="0"/>
      <w:marRight w:val="0"/>
      <w:marTop w:val="0"/>
      <w:marBottom w:val="0"/>
      <w:divBdr>
        <w:top w:val="none" w:sz="0" w:space="0" w:color="auto"/>
        <w:left w:val="none" w:sz="0" w:space="0" w:color="auto"/>
        <w:bottom w:val="none" w:sz="0" w:space="0" w:color="auto"/>
        <w:right w:val="none" w:sz="0" w:space="0" w:color="auto"/>
      </w:divBdr>
      <w:divsChild>
        <w:div w:id="86388028">
          <w:marLeft w:val="0"/>
          <w:marRight w:val="0"/>
          <w:marTop w:val="0"/>
          <w:marBottom w:val="0"/>
          <w:divBdr>
            <w:top w:val="none" w:sz="0" w:space="0" w:color="auto"/>
            <w:left w:val="none" w:sz="0" w:space="0" w:color="auto"/>
            <w:bottom w:val="none" w:sz="0" w:space="0" w:color="auto"/>
            <w:right w:val="none" w:sz="0" w:space="0" w:color="auto"/>
          </w:divBdr>
        </w:div>
        <w:div w:id="1247572288">
          <w:marLeft w:val="0"/>
          <w:marRight w:val="0"/>
          <w:marTop w:val="0"/>
          <w:marBottom w:val="0"/>
          <w:divBdr>
            <w:top w:val="none" w:sz="0" w:space="0" w:color="auto"/>
            <w:left w:val="none" w:sz="0" w:space="0" w:color="auto"/>
            <w:bottom w:val="none" w:sz="0" w:space="0" w:color="auto"/>
            <w:right w:val="none" w:sz="0" w:space="0" w:color="auto"/>
          </w:divBdr>
          <w:divsChild>
            <w:div w:id="18046920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150291102">
      <w:bodyDiv w:val="1"/>
      <w:marLeft w:val="0"/>
      <w:marRight w:val="0"/>
      <w:marTop w:val="0"/>
      <w:marBottom w:val="0"/>
      <w:divBdr>
        <w:top w:val="none" w:sz="0" w:space="0" w:color="auto"/>
        <w:left w:val="none" w:sz="0" w:space="0" w:color="auto"/>
        <w:bottom w:val="none" w:sz="0" w:space="0" w:color="auto"/>
        <w:right w:val="none" w:sz="0" w:space="0" w:color="auto"/>
      </w:divBdr>
    </w:div>
    <w:div w:id="1156652141">
      <w:bodyDiv w:val="1"/>
      <w:marLeft w:val="0"/>
      <w:marRight w:val="0"/>
      <w:marTop w:val="0"/>
      <w:marBottom w:val="0"/>
      <w:divBdr>
        <w:top w:val="none" w:sz="0" w:space="0" w:color="auto"/>
        <w:left w:val="none" w:sz="0" w:space="0" w:color="auto"/>
        <w:bottom w:val="none" w:sz="0" w:space="0" w:color="auto"/>
        <w:right w:val="none" w:sz="0" w:space="0" w:color="auto"/>
      </w:divBdr>
    </w:div>
    <w:div w:id="1170677103">
      <w:bodyDiv w:val="1"/>
      <w:marLeft w:val="0"/>
      <w:marRight w:val="0"/>
      <w:marTop w:val="0"/>
      <w:marBottom w:val="0"/>
      <w:divBdr>
        <w:top w:val="none" w:sz="0" w:space="0" w:color="auto"/>
        <w:left w:val="none" w:sz="0" w:space="0" w:color="auto"/>
        <w:bottom w:val="none" w:sz="0" w:space="0" w:color="auto"/>
        <w:right w:val="none" w:sz="0" w:space="0" w:color="auto"/>
      </w:divBdr>
    </w:div>
    <w:div w:id="1171336398">
      <w:bodyDiv w:val="1"/>
      <w:marLeft w:val="0"/>
      <w:marRight w:val="0"/>
      <w:marTop w:val="0"/>
      <w:marBottom w:val="0"/>
      <w:divBdr>
        <w:top w:val="none" w:sz="0" w:space="0" w:color="auto"/>
        <w:left w:val="none" w:sz="0" w:space="0" w:color="auto"/>
        <w:bottom w:val="none" w:sz="0" w:space="0" w:color="auto"/>
        <w:right w:val="none" w:sz="0" w:space="0" w:color="auto"/>
      </w:divBdr>
      <w:divsChild>
        <w:div w:id="1189678728">
          <w:marLeft w:val="0"/>
          <w:marRight w:val="0"/>
          <w:marTop w:val="0"/>
          <w:marBottom w:val="0"/>
          <w:divBdr>
            <w:top w:val="none" w:sz="0" w:space="0" w:color="auto"/>
            <w:left w:val="none" w:sz="0" w:space="0" w:color="auto"/>
            <w:bottom w:val="none" w:sz="0" w:space="0" w:color="auto"/>
            <w:right w:val="none" w:sz="0" w:space="0" w:color="auto"/>
          </w:divBdr>
          <w:divsChild>
            <w:div w:id="74866857">
              <w:marLeft w:val="720"/>
              <w:marRight w:val="0"/>
              <w:marTop w:val="0"/>
              <w:marBottom w:val="0"/>
              <w:divBdr>
                <w:top w:val="none" w:sz="0" w:space="0" w:color="auto"/>
                <w:left w:val="none" w:sz="0" w:space="0" w:color="auto"/>
                <w:bottom w:val="none" w:sz="0" w:space="0" w:color="auto"/>
                <w:right w:val="none" w:sz="0" w:space="0" w:color="auto"/>
              </w:divBdr>
              <w:divsChild>
                <w:div w:id="871771706">
                  <w:marLeft w:val="270"/>
                  <w:marRight w:val="150"/>
                  <w:marTop w:val="0"/>
                  <w:marBottom w:val="0"/>
                  <w:divBdr>
                    <w:top w:val="none" w:sz="0" w:space="0" w:color="auto"/>
                    <w:left w:val="none" w:sz="0" w:space="0" w:color="auto"/>
                    <w:bottom w:val="none" w:sz="0" w:space="0" w:color="auto"/>
                    <w:right w:val="none" w:sz="0" w:space="0" w:color="auto"/>
                  </w:divBdr>
                </w:div>
                <w:div w:id="1079405794">
                  <w:marLeft w:val="0"/>
                  <w:marRight w:val="0"/>
                  <w:marTop w:val="0"/>
                  <w:marBottom w:val="0"/>
                  <w:divBdr>
                    <w:top w:val="none" w:sz="0" w:space="0" w:color="auto"/>
                    <w:left w:val="none" w:sz="0" w:space="0" w:color="auto"/>
                    <w:bottom w:val="none" w:sz="0" w:space="0" w:color="auto"/>
                    <w:right w:val="none" w:sz="0" w:space="0" w:color="auto"/>
                  </w:divBdr>
                  <w:divsChild>
                    <w:div w:id="209613196">
                      <w:marLeft w:val="0"/>
                      <w:marRight w:val="0"/>
                      <w:marTop w:val="0"/>
                      <w:marBottom w:val="0"/>
                      <w:divBdr>
                        <w:top w:val="none" w:sz="0" w:space="0" w:color="auto"/>
                        <w:left w:val="none" w:sz="0" w:space="0" w:color="auto"/>
                        <w:bottom w:val="none" w:sz="0" w:space="0" w:color="auto"/>
                        <w:right w:val="none" w:sz="0" w:space="0" w:color="auto"/>
                      </w:divBdr>
                      <w:divsChild>
                        <w:div w:id="179786007">
                          <w:marLeft w:val="0"/>
                          <w:marRight w:val="0"/>
                          <w:marTop w:val="0"/>
                          <w:marBottom w:val="0"/>
                          <w:divBdr>
                            <w:top w:val="none" w:sz="0" w:space="0" w:color="auto"/>
                            <w:left w:val="none" w:sz="0" w:space="0" w:color="auto"/>
                            <w:bottom w:val="none" w:sz="0" w:space="0" w:color="auto"/>
                            <w:right w:val="none" w:sz="0" w:space="0" w:color="auto"/>
                          </w:divBdr>
                          <w:divsChild>
                            <w:div w:id="15939286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42559">
          <w:marLeft w:val="780"/>
          <w:marRight w:val="240"/>
          <w:marTop w:val="180"/>
          <w:marBottom w:val="0"/>
          <w:divBdr>
            <w:top w:val="none" w:sz="0" w:space="0" w:color="auto"/>
            <w:left w:val="none" w:sz="0" w:space="0" w:color="auto"/>
            <w:bottom w:val="none" w:sz="0" w:space="0" w:color="auto"/>
            <w:right w:val="none" w:sz="0" w:space="0" w:color="auto"/>
          </w:divBdr>
          <w:divsChild>
            <w:div w:id="2008706662">
              <w:marLeft w:val="0"/>
              <w:marRight w:val="0"/>
              <w:marTop w:val="0"/>
              <w:marBottom w:val="0"/>
              <w:divBdr>
                <w:top w:val="none" w:sz="0" w:space="0" w:color="auto"/>
                <w:left w:val="none" w:sz="0" w:space="0" w:color="auto"/>
                <w:bottom w:val="none" w:sz="0" w:space="0" w:color="auto"/>
                <w:right w:val="none" w:sz="0" w:space="0" w:color="auto"/>
              </w:divBdr>
              <w:divsChild>
                <w:div w:id="1586497750">
                  <w:marLeft w:val="0"/>
                  <w:marRight w:val="0"/>
                  <w:marTop w:val="0"/>
                  <w:marBottom w:val="0"/>
                  <w:divBdr>
                    <w:top w:val="none" w:sz="0" w:space="0" w:color="auto"/>
                    <w:left w:val="none" w:sz="0" w:space="0" w:color="auto"/>
                    <w:bottom w:val="none" w:sz="0" w:space="0" w:color="auto"/>
                    <w:right w:val="none" w:sz="0" w:space="0" w:color="auto"/>
                  </w:divBdr>
                  <w:divsChild>
                    <w:div w:id="643974788">
                      <w:marLeft w:val="0"/>
                      <w:marRight w:val="0"/>
                      <w:marTop w:val="0"/>
                      <w:marBottom w:val="0"/>
                      <w:divBdr>
                        <w:top w:val="none" w:sz="0" w:space="0" w:color="auto"/>
                        <w:left w:val="none" w:sz="0" w:space="0" w:color="auto"/>
                        <w:bottom w:val="none" w:sz="0" w:space="0" w:color="auto"/>
                        <w:right w:val="none" w:sz="0" w:space="0" w:color="auto"/>
                      </w:divBdr>
                      <w:divsChild>
                        <w:div w:id="19586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536240">
      <w:bodyDiv w:val="1"/>
      <w:marLeft w:val="0"/>
      <w:marRight w:val="0"/>
      <w:marTop w:val="0"/>
      <w:marBottom w:val="0"/>
      <w:divBdr>
        <w:top w:val="none" w:sz="0" w:space="0" w:color="auto"/>
        <w:left w:val="none" w:sz="0" w:space="0" w:color="auto"/>
        <w:bottom w:val="none" w:sz="0" w:space="0" w:color="auto"/>
        <w:right w:val="none" w:sz="0" w:space="0" w:color="auto"/>
      </w:divBdr>
      <w:divsChild>
        <w:div w:id="2041853864">
          <w:marLeft w:val="0"/>
          <w:marRight w:val="0"/>
          <w:marTop w:val="0"/>
          <w:marBottom w:val="0"/>
          <w:divBdr>
            <w:top w:val="none" w:sz="0" w:space="0" w:color="auto"/>
            <w:left w:val="none" w:sz="0" w:space="0" w:color="auto"/>
            <w:bottom w:val="none" w:sz="0" w:space="0" w:color="auto"/>
            <w:right w:val="none" w:sz="0" w:space="0" w:color="auto"/>
          </w:divBdr>
          <w:divsChild>
            <w:div w:id="20141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8992">
      <w:bodyDiv w:val="1"/>
      <w:marLeft w:val="0"/>
      <w:marRight w:val="0"/>
      <w:marTop w:val="0"/>
      <w:marBottom w:val="0"/>
      <w:divBdr>
        <w:top w:val="none" w:sz="0" w:space="0" w:color="auto"/>
        <w:left w:val="none" w:sz="0" w:space="0" w:color="auto"/>
        <w:bottom w:val="none" w:sz="0" w:space="0" w:color="auto"/>
        <w:right w:val="none" w:sz="0" w:space="0" w:color="auto"/>
      </w:divBdr>
    </w:div>
    <w:div w:id="1193881084">
      <w:bodyDiv w:val="1"/>
      <w:marLeft w:val="0"/>
      <w:marRight w:val="0"/>
      <w:marTop w:val="0"/>
      <w:marBottom w:val="0"/>
      <w:divBdr>
        <w:top w:val="none" w:sz="0" w:space="0" w:color="auto"/>
        <w:left w:val="none" w:sz="0" w:space="0" w:color="auto"/>
        <w:bottom w:val="none" w:sz="0" w:space="0" w:color="auto"/>
        <w:right w:val="none" w:sz="0" w:space="0" w:color="auto"/>
      </w:divBdr>
      <w:divsChild>
        <w:div w:id="1029140923">
          <w:marLeft w:val="0"/>
          <w:marRight w:val="0"/>
          <w:marTop w:val="0"/>
          <w:marBottom w:val="0"/>
          <w:divBdr>
            <w:top w:val="none" w:sz="0" w:space="0" w:color="auto"/>
            <w:left w:val="none" w:sz="0" w:space="0" w:color="auto"/>
            <w:bottom w:val="none" w:sz="0" w:space="0" w:color="auto"/>
            <w:right w:val="none" w:sz="0" w:space="0" w:color="auto"/>
          </w:divBdr>
        </w:div>
      </w:divsChild>
    </w:div>
    <w:div w:id="1202282785">
      <w:bodyDiv w:val="1"/>
      <w:marLeft w:val="0"/>
      <w:marRight w:val="0"/>
      <w:marTop w:val="0"/>
      <w:marBottom w:val="0"/>
      <w:divBdr>
        <w:top w:val="none" w:sz="0" w:space="0" w:color="auto"/>
        <w:left w:val="none" w:sz="0" w:space="0" w:color="auto"/>
        <w:bottom w:val="none" w:sz="0" w:space="0" w:color="auto"/>
        <w:right w:val="none" w:sz="0" w:space="0" w:color="auto"/>
      </w:divBdr>
    </w:div>
    <w:div w:id="1202403886">
      <w:bodyDiv w:val="1"/>
      <w:marLeft w:val="0"/>
      <w:marRight w:val="0"/>
      <w:marTop w:val="0"/>
      <w:marBottom w:val="0"/>
      <w:divBdr>
        <w:top w:val="none" w:sz="0" w:space="0" w:color="auto"/>
        <w:left w:val="none" w:sz="0" w:space="0" w:color="auto"/>
        <w:bottom w:val="none" w:sz="0" w:space="0" w:color="auto"/>
        <w:right w:val="none" w:sz="0" w:space="0" w:color="auto"/>
      </w:divBdr>
    </w:div>
    <w:div w:id="1203664743">
      <w:bodyDiv w:val="1"/>
      <w:marLeft w:val="0"/>
      <w:marRight w:val="0"/>
      <w:marTop w:val="0"/>
      <w:marBottom w:val="0"/>
      <w:divBdr>
        <w:top w:val="none" w:sz="0" w:space="0" w:color="auto"/>
        <w:left w:val="none" w:sz="0" w:space="0" w:color="auto"/>
        <w:bottom w:val="none" w:sz="0" w:space="0" w:color="auto"/>
        <w:right w:val="none" w:sz="0" w:space="0" w:color="auto"/>
      </w:divBdr>
    </w:div>
    <w:div w:id="1203709355">
      <w:bodyDiv w:val="1"/>
      <w:marLeft w:val="0"/>
      <w:marRight w:val="0"/>
      <w:marTop w:val="0"/>
      <w:marBottom w:val="0"/>
      <w:divBdr>
        <w:top w:val="none" w:sz="0" w:space="0" w:color="auto"/>
        <w:left w:val="none" w:sz="0" w:space="0" w:color="auto"/>
        <w:bottom w:val="none" w:sz="0" w:space="0" w:color="auto"/>
        <w:right w:val="none" w:sz="0" w:space="0" w:color="auto"/>
      </w:divBdr>
      <w:divsChild>
        <w:div w:id="1889998699">
          <w:marLeft w:val="0"/>
          <w:marRight w:val="0"/>
          <w:marTop w:val="0"/>
          <w:marBottom w:val="0"/>
          <w:divBdr>
            <w:top w:val="none" w:sz="0" w:space="0" w:color="auto"/>
            <w:left w:val="none" w:sz="0" w:space="0" w:color="auto"/>
            <w:bottom w:val="none" w:sz="0" w:space="0" w:color="auto"/>
            <w:right w:val="none" w:sz="0" w:space="0" w:color="auto"/>
          </w:divBdr>
        </w:div>
        <w:div w:id="1650816984">
          <w:marLeft w:val="0"/>
          <w:marRight w:val="0"/>
          <w:marTop w:val="0"/>
          <w:marBottom w:val="0"/>
          <w:divBdr>
            <w:top w:val="none" w:sz="0" w:space="0" w:color="auto"/>
            <w:left w:val="none" w:sz="0" w:space="0" w:color="auto"/>
            <w:bottom w:val="none" w:sz="0" w:space="0" w:color="auto"/>
            <w:right w:val="none" w:sz="0" w:space="0" w:color="auto"/>
          </w:divBdr>
        </w:div>
        <w:div w:id="953440079">
          <w:marLeft w:val="0"/>
          <w:marRight w:val="0"/>
          <w:marTop w:val="0"/>
          <w:marBottom w:val="0"/>
          <w:divBdr>
            <w:top w:val="none" w:sz="0" w:space="0" w:color="auto"/>
            <w:left w:val="none" w:sz="0" w:space="0" w:color="auto"/>
            <w:bottom w:val="none" w:sz="0" w:space="0" w:color="auto"/>
            <w:right w:val="none" w:sz="0" w:space="0" w:color="auto"/>
          </w:divBdr>
        </w:div>
        <w:div w:id="332731669">
          <w:marLeft w:val="0"/>
          <w:marRight w:val="0"/>
          <w:marTop w:val="0"/>
          <w:marBottom w:val="0"/>
          <w:divBdr>
            <w:top w:val="none" w:sz="0" w:space="0" w:color="auto"/>
            <w:left w:val="none" w:sz="0" w:space="0" w:color="auto"/>
            <w:bottom w:val="none" w:sz="0" w:space="0" w:color="auto"/>
            <w:right w:val="none" w:sz="0" w:space="0" w:color="auto"/>
          </w:divBdr>
        </w:div>
        <w:div w:id="293415058">
          <w:marLeft w:val="0"/>
          <w:marRight w:val="0"/>
          <w:marTop w:val="0"/>
          <w:marBottom w:val="0"/>
          <w:divBdr>
            <w:top w:val="none" w:sz="0" w:space="0" w:color="auto"/>
            <w:left w:val="none" w:sz="0" w:space="0" w:color="auto"/>
            <w:bottom w:val="none" w:sz="0" w:space="0" w:color="auto"/>
            <w:right w:val="none" w:sz="0" w:space="0" w:color="auto"/>
          </w:divBdr>
        </w:div>
        <w:div w:id="108399883">
          <w:marLeft w:val="0"/>
          <w:marRight w:val="0"/>
          <w:marTop w:val="0"/>
          <w:marBottom w:val="0"/>
          <w:divBdr>
            <w:top w:val="none" w:sz="0" w:space="0" w:color="auto"/>
            <w:left w:val="none" w:sz="0" w:space="0" w:color="auto"/>
            <w:bottom w:val="none" w:sz="0" w:space="0" w:color="auto"/>
            <w:right w:val="none" w:sz="0" w:space="0" w:color="auto"/>
          </w:divBdr>
        </w:div>
        <w:div w:id="1795513014">
          <w:marLeft w:val="0"/>
          <w:marRight w:val="0"/>
          <w:marTop w:val="0"/>
          <w:marBottom w:val="0"/>
          <w:divBdr>
            <w:top w:val="none" w:sz="0" w:space="0" w:color="auto"/>
            <w:left w:val="none" w:sz="0" w:space="0" w:color="auto"/>
            <w:bottom w:val="none" w:sz="0" w:space="0" w:color="auto"/>
            <w:right w:val="none" w:sz="0" w:space="0" w:color="auto"/>
          </w:divBdr>
        </w:div>
        <w:div w:id="588084211">
          <w:marLeft w:val="0"/>
          <w:marRight w:val="0"/>
          <w:marTop w:val="0"/>
          <w:marBottom w:val="0"/>
          <w:divBdr>
            <w:top w:val="none" w:sz="0" w:space="0" w:color="auto"/>
            <w:left w:val="none" w:sz="0" w:space="0" w:color="auto"/>
            <w:bottom w:val="none" w:sz="0" w:space="0" w:color="auto"/>
            <w:right w:val="none" w:sz="0" w:space="0" w:color="auto"/>
          </w:divBdr>
        </w:div>
        <w:div w:id="1662390922">
          <w:marLeft w:val="0"/>
          <w:marRight w:val="0"/>
          <w:marTop w:val="0"/>
          <w:marBottom w:val="0"/>
          <w:divBdr>
            <w:top w:val="none" w:sz="0" w:space="0" w:color="auto"/>
            <w:left w:val="none" w:sz="0" w:space="0" w:color="auto"/>
            <w:bottom w:val="none" w:sz="0" w:space="0" w:color="auto"/>
            <w:right w:val="none" w:sz="0" w:space="0" w:color="auto"/>
          </w:divBdr>
        </w:div>
        <w:div w:id="602760721">
          <w:marLeft w:val="0"/>
          <w:marRight w:val="0"/>
          <w:marTop w:val="0"/>
          <w:marBottom w:val="0"/>
          <w:divBdr>
            <w:top w:val="none" w:sz="0" w:space="0" w:color="auto"/>
            <w:left w:val="none" w:sz="0" w:space="0" w:color="auto"/>
            <w:bottom w:val="none" w:sz="0" w:space="0" w:color="auto"/>
            <w:right w:val="none" w:sz="0" w:space="0" w:color="auto"/>
          </w:divBdr>
        </w:div>
        <w:div w:id="783381298">
          <w:marLeft w:val="0"/>
          <w:marRight w:val="0"/>
          <w:marTop w:val="0"/>
          <w:marBottom w:val="0"/>
          <w:divBdr>
            <w:top w:val="none" w:sz="0" w:space="0" w:color="auto"/>
            <w:left w:val="none" w:sz="0" w:space="0" w:color="auto"/>
            <w:bottom w:val="none" w:sz="0" w:space="0" w:color="auto"/>
            <w:right w:val="none" w:sz="0" w:space="0" w:color="auto"/>
          </w:divBdr>
        </w:div>
        <w:div w:id="2145268823">
          <w:marLeft w:val="0"/>
          <w:marRight w:val="0"/>
          <w:marTop w:val="0"/>
          <w:marBottom w:val="0"/>
          <w:divBdr>
            <w:top w:val="none" w:sz="0" w:space="0" w:color="auto"/>
            <w:left w:val="none" w:sz="0" w:space="0" w:color="auto"/>
            <w:bottom w:val="none" w:sz="0" w:space="0" w:color="auto"/>
            <w:right w:val="none" w:sz="0" w:space="0" w:color="auto"/>
          </w:divBdr>
        </w:div>
        <w:div w:id="1337423051">
          <w:marLeft w:val="0"/>
          <w:marRight w:val="0"/>
          <w:marTop w:val="0"/>
          <w:marBottom w:val="0"/>
          <w:divBdr>
            <w:top w:val="none" w:sz="0" w:space="0" w:color="auto"/>
            <w:left w:val="none" w:sz="0" w:space="0" w:color="auto"/>
            <w:bottom w:val="none" w:sz="0" w:space="0" w:color="auto"/>
            <w:right w:val="none" w:sz="0" w:space="0" w:color="auto"/>
          </w:divBdr>
        </w:div>
      </w:divsChild>
    </w:div>
    <w:div w:id="1204094312">
      <w:bodyDiv w:val="1"/>
      <w:marLeft w:val="0"/>
      <w:marRight w:val="0"/>
      <w:marTop w:val="0"/>
      <w:marBottom w:val="0"/>
      <w:divBdr>
        <w:top w:val="none" w:sz="0" w:space="0" w:color="auto"/>
        <w:left w:val="none" w:sz="0" w:space="0" w:color="auto"/>
        <w:bottom w:val="none" w:sz="0" w:space="0" w:color="auto"/>
        <w:right w:val="none" w:sz="0" w:space="0" w:color="auto"/>
      </w:divBdr>
    </w:div>
    <w:div w:id="1210141891">
      <w:bodyDiv w:val="1"/>
      <w:marLeft w:val="0"/>
      <w:marRight w:val="0"/>
      <w:marTop w:val="0"/>
      <w:marBottom w:val="0"/>
      <w:divBdr>
        <w:top w:val="none" w:sz="0" w:space="0" w:color="auto"/>
        <w:left w:val="none" w:sz="0" w:space="0" w:color="auto"/>
        <w:bottom w:val="none" w:sz="0" w:space="0" w:color="auto"/>
        <w:right w:val="none" w:sz="0" w:space="0" w:color="auto"/>
      </w:divBdr>
    </w:div>
    <w:div w:id="1212308390">
      <w:bodyDiv w:val="1"/>
      <w:marLeft w:val="0"/>
      <w:marRight w:val="0"/>
      <w:marTop w:val="0"/>
      <w:marBottom w:val="0"/>
      <w:divBdr>
        <w:top w:val="none" w:sz="0" w:space="0" w:color="auto"/>
        <w:left w:val="none" w:sz="0" w:space="0" w:color="auto"/>
        <w:bottom w:val="none" w:sz="0" w:space="0" w:color="auto"/>
        <w:right w:val="none" w:sz="0" w:space="0" w:color="auto"/>
      </w:divBdr>
    </w:div>
    <w:div w:id="1228226586">
      <w:bodyDiv w:val="1"/>
      <w:marLeft w:val="0"/>
      <w:marRight w:val="0"/>
      <w:marTop w:val="0"/>
      <w:marBottom w:val="0"/>
      <w:divBdr>
        <w:top w:val="none" w:sz="0" w:space="0" w:color="auto"/>
        <w:left w:val="none" w:sz="0" w:space="0" w:color="auto"/>
        <w:bottom w:val="none" w:sz="0" w:space="0" w:color="auto"/>
        <w:right w:val="none" w:sz="0" w:space="0" w:color="auto"/>
      </w:divBdr>
    </w:div>
    <w:div w:id="1239435855">
      <w:bodyDiv w:val="1"/>
      <w:marLeft w:val="0"/>
      <w:marRight w:val="0"/>
      <w:marTop w:val="0"/>
      <w:marBottom w:val="0"/>
      <w:divBdr>
        <w:top w:val="none" w:sz="0" w:space="0" w:color="auto"/>
        <w:left w:val="none" w:sz="0" w:space="0" w:color="auto"/>
        <w:bottom w:val="none" w:sz="0" w:space="0" w:color="auto"/>
        <w:right w:val="none" w:sz="0" w:space="0" w:color="auto"/>
      </w:divBdr>
    </w:div>
    <w:div w:id="1248803564">
      <w:bodyDiv w:val="1"/>
      <w:marLeft w:val="0"/>
      <w:marRight w:val="0"/>
      <w:marTop w:val="0"/>
      <w:marBottom w:val="0"/>
      <w:divBdr>
        <w:top w:val="none" w:sz="0" w:space="0" w:color="auto"/>
        <w:left w:val="none" w:sz="0" w:space="0" w:color="auto"/>
        <w:bottom w:val="none" w:sz="0" w:space="0" w:color="auto"/>
        <w:right w:val="none" w:sz="0" w:space="0" w:color="auto"/>
      </w:divBdr>
    </w:div>
    <w:div w:id="1260218127">
      <w:bodyDiv w:val="1"/>
      <w:marLeft w:val="0"/>
      <w:marRight w:val="0"/>
      <w:marTop w:val="0"/>
      <w:marBottom w:val="0"/>
      <w:divBdr>
        <w:top w:val="none" w:sz="0" w:space="0" w:color="auto"/>
        <w:left w:val="none" w:sz="0" w:space="0" w:color="auto"/>
        <w:bottom w:val="none" w:sz="0" w:space="0" w:color="auto"/>
        <w:right w:val="none" w:sz="0" w:space="0" w:color="auto"/>
      </w:divBdr>
    </w:div>
    <w:div w:id="1260993173">
      <w:bodyDiv w:val="1"/>
      <w:marLeft w:val="0"/>
      <w:marRight w:val="0"/>
      <w:marTop w:val="0"/>
      <w:marBottom w:val="0"/>
      <w:divBdr>
        <w:top w:val="none" w:sz="0" w:space="0" w:color="auto"/>
        <w:left w:val="none" w:sz="0" w:space="0" w:color="auto"/>
        <w:bottom w:val="none" w:sz="0" w:space="0" w:color="auto"/>
        <w:right w:val="none" w:sz="0" w:space="0" w:color="auto"/>
      </w:divBdr>
      <w:divsChild>
        <w:div w:id="313607010">
          <w:marLeft w:val="0"/>
          <w:marRight w:val="0"/>
          <w:marTop w:val="0"/>
          <w:marBottom w:val="0"/>
          <w:divBdr>
            <w:top w:val="none" w:sz="0" w:space="0" w:color="auto"/>
            <w:left w:val="none" w:sz="0" w:space="0" w:color="auto"/>
            <w:bottom w:val="none" w:sz="0" w:space="0" w:color="auto"/>
            <w:right w:val="none" w:sz="0" w:space="0" w:color="auto"/>
          </w:divBdr>
        </w:div>
        <w:div w:id="841162133">
          <w:marLeft w:val="0"/>
          <w:marRight w:val="0"/>
          <w:marTop w:val="0"/>
          <w:marBottom w:val="0"/>
          <w:divBdr>
            <w:top w:val="none" w:sz="0" w:space="0" w:color="auto"/>
            <w:left w:val="none" w:sz="0" w:space="0" w:color="auto"/>
            <w:bottom w:val="none" w:sz="0" w:space="0" w:color="auto"/>
            <w:right w:val="none" w:sz="0" w:space="0" w:color="auto"/>
          </w:divBdr>
        </w:div>
        <w:div w:id="2016955506">
          <w:marLeft w:val="0"/>
          <w:marRight w:val="0"/>
          <w:marTop w:val="0"/>
          <w:marBottom w:val="0"/>
          <w:divBdr>
            <w:top w:val="none" w:sz="0" w:space="0" w:color="auto"/>
            <w:left w:val="none" w:sz="0" w:space="0" w:color="auto"/>
            <w:bottom w:val="none" w:sz="0" w:space="0" w:color="auto"/>
            <w:right w:val="none" w:sz="0" w:space="0" w:color="auto"/>
          </w:divBdr>
        </w:div>
      </w:divsChild>
    </w:div>
    <w:div w:id="1266307339">
      <w:bodyDiv w:val="1"/>
      <w:marLeft w:val="0"/>
      <w:marRight w:val="0"/>
      <w:marTop w:val="0"/>
      <w:marBottom w:val="0"/>
      <w:divBdr>
        <w:top w:val="none" w:sz="0" w:space="0" w:color="auto"/>
        <w:left w:val="none" w:sz="0" w:space="0" w:color="auto"/>
        <w:bottom w:val="none" w:sz="0" w:space="0" w:color="auto"/>
        <w:right w:val="none" w:sz="0" w:space="0" w:color="auto"/>
      </w:divBdr>
    </w:div>
    <w:div w:id="1267276889">
      <w:bodyDiv w:val="1"/>
      <w:marLeft w:val="0"/>
      <w:marRight w:val="0"/>
      <w:marTop w:val="0"/>
      <w:marBottom w:val="0"/>
      <w:divBdr>
        <w:top w:val="none" w:sz="0" w:space="0" w:color="auto"/>
        <w:left w:val="none" w:sz="0" w:space="0" w:color="auto"/>
        <w:bottom w:val="none" w:sz="0" w:space="0" w:color="auto"/>
        <w:right w:val="none" w:sz="0" w:space="0" w:color="auto"/>
      </w:divBdr>
    </w:div>
    <w:div w:id="1274553162">
      <w:bodyDiv w:val="1"/>
      <w:marLeft w:val="0"/>
      <w:marRight w:val="0"/>
      <w:marTop w:val="0"/>
      <w:marBottom w:val="0"/>
      <w:divBdr>
        <w:top w:val="none" w:sz="0" w:space="0" w:color="auto"/>
        <w:left w:val="none" w:sz="0" w:space="0" w:color="auto"/>
        <w:bottom w:val="none" w:sz="0" w:space="0" w:color="auto"/>
        <w:right w:val="none" w:sz="0" w:space="0" w:color="auto"/>
      </w:divBdr>
    </w:div>
    <w:div w:id="1275986768">
      <w:bodyDiv w:val="1"/>
      <w:marLeft w:val="0"/>
      <w:marRight w:val="0"/>
      <w:marTop w:val="0"/>
      <w:marBottom w:val="0"/>
      <w:divBdr>
        <w:top w:val="none" w:sz="0" w:space="0" w:color="auto"/>
        <w:left w:val="none" w:sz="0" w:space="0" w:color="auto"/>
        <w:bottom w:val="none" w:sz="0" w:space="0" w:color="auto"/>
        <w:right w:val="none" w:sz="0" w:space="0" w:color="auto"/>
      </w:divBdr>
    </w:div>
    <w:div w:id="1277132575">
      <w:bodyDiv w:val="1"/>
      <w:marLeft w:val="0"/>
      <w:marRight w:val="0"/>
      <w:marTop w:val="0"/>
      <w:marBottom w:val="0"/>
      <w:divBdr>
        <w:top w:val="none" w:sz="0" w:space="0" w:color="auto"/>
        <w:left w:val="none" w:sz="0" w:space="0" w:color="auto"/>
        <w:bottom w:val="none" w:sz="0" w:space="0" w:color="auto"/>
        <w:right w:val="none" w:sz="0" w:space="0" w:color="auto"/>
      </w:divBdr>
      <w:divsChild>
        <w:div w:id="2012905216">
          <w:marLeft w:val="0"/>
          <w:marRight w:val="0"/>
          <w:marTop w:val="0"/>
          <w:marBottom w:val="0"/>
          <w:divBdr>
            <w:top w:val="none" w:sz="0" w:space="0" w:color="auto"/>
            <w:left w:val="none" w:sz="0" w:space="0" w:color="auto"/>
            <w:bottom w:val="none" w:sz="0" w:space="0" w:color="auto"/>
            <w:right w:val="none" w:sz="0" w:space="0" w:color="auto"/>
          </w:divBdr>
        </w:div>
      </w:divsChild>
    </w:div>
    <w:div w:id="1279525884">
      <w:bodyDiv w:val="1"/>
      <w:marLeft w:val="0"/>
      <w:marRight w:val="0"/>
      <w:marTop w:val="0"/>
      <w:marBottom w:val="0"/>
      <w:divBdr>
        <w:top w:val="none" w:sz="0" w:space="0" w:color="auto"/>
        <w:left w:val="none" w:sz="0" w:space="0" w:color="auto"/>
        <w:bottom w:val="none" w:sz="0" w:space="0" w:color="auto"/>
        <w:right w:val="none" w:sz="0" w:space="0" w:color="auto"/>
      </w:divBdr>
    </w:div>
    <w:div w:id="1280063034">
      <w:bodyDiv w:val="1"/>
      <w:marLeft w:val="0"/>
      <w:marRight w:val="0"/>
      <w:marTop w:val="0"/>
      <w:marBottom w:val="0"/>
      <w:divBdr>
        <w:top w:val="none" w:sz="0" w:space="0" w:color="auto"/>
        <w:left w:val="none" w:sz="0" w:space="0" w:color="auto"/>
        <w:bottom w:val="none" w:sz="0" w:space="0" w:color="auto"/>
        <w:right w:val="none" w:sz="0" w:space="0" w:color="auto"/>
      </w:divBdr>
    </w:div>
    <w:div w:id="1281112596">
      <w:bodyDiv w:val="1"/>
      <w:marLeft w:val="0"/>
      <w:marRight w:val="0"/>
      <w:marTop w:val="0"/>
      <w:marBottom w:val="0"/>
      <w:divBdr>
        <w:top w:val="none" w:sz="0" w:space="0" w:color="auto"/>
        <w:left w:val="none" w:sz="0" w:space="0" w:color="auto"/>
        <w:bottom w:val="none" w:sz="0" w:space="0" w:color="auto"/>
        <w:right w:val="none" w:sz="0" w:space="0" w:color="auto"/>
      </w:divBdr>
      <w:divsChild>
        <w:div w:id="128281933">
          <w:marLeft w:val="0"/>
          <w:marRight w:val="0"/>
          <w:marTop w:val="0"/>
          <w:marBottom w:val="0"/>
          <w:divBdr>
            <w:top w:val="none" w:sz="0" w:space="0" w:color="auto"/>
            <w:left w:val="none" w:sz="0" w:space="0" w:color="auto"/>
            <w:bottom w:val="none" w:sz="0" w:space="0" w:color="auto"/>
            <w:right w:val="none" w:sz="0" w:space="0" w:color="auto"/>
          </w:divBdr>
        </w:div>
      </w:divsChild>
    </w:div>
    <w:div w:id="1285383820">
      <w:bodyDiv w:val="1"/>
      <w:marLeft w:val="0"/>
      <w:marRight w:val="0"/>
      <w:marTop w:val="0"/>
      <w:marBottom w:val="0"/>
      <w:divBdr>
        <w:top w:val="none" w:sz="0" w:space="0" w:color="auto"/>
        <w:left w:val="none" w:sz="0" w:space="0" w:color="auto"/>
        <w:bottom w:val="none" w:sz="0" w:space="0" w:color="auto"/>
        <w:right w:val="none" w:sz="0" w:space="0" w:color="auto"/>
      </w:divBdr>
    </w:div>
    <w:div w:id="1287541637">
      <w:bodyDiv w:val="1"/>
      <w:marLeft w:val="0"/>
      <w:marRight w:val="0"/>
      <w:marTop w:val="0"/>
      <w:marBottom w:val="0"/>
      <w:divBdr>
        <w:top w:val="none" w:sz="0" w:space="0" w:color="auto"/>
        <w:left w:val="none" w:sz="0" w:space="0" w:color="auto"/>
        <w:bottom w:val="none" w:sz="0" w:space="0" w:color="auto"/>
        <w:right w:val="none" w:sz="0" w:space="0" w:color="auto"/>
      </w:divBdr>
    </w:div>
    <w:div w:id="1292786251">
      <w:bodyDiv w:val="1"/>
      <w:marLeft w:val="0"/>
      <w:marRight w:val="0"/>
      <w:marTop w:val="0"/>
      <w:marBottom w:val="0"/>
      <w:divBdr>
        <w:top w:val="none" w:sz="0" w:space="0" w:color="auto"/>
        <w:left w:val="none" w:sz="0" w:space="0" w:color="auto"/>
        <w:bottom w:val="none" w:sz="0" w:space="0" w:color="auto"/>
        <w:right w:val="none" w:sz="0" w:space="0" w:color="auto"/>
      </w:divBdr>
    </w:div>
    <w:div w:id="1294598183">
      <w:bodyDiv w:val="1"/>
      <w:marLeft w:val="0"/>
      <w:marRight w:val="0"/>
      <w:marTop w:val="0"/>
      <w:marBottom w:val="0"/>
      <w:divBdr>
        <w:top w:val="none" w:sz="0" w:space="0" w:color="auto"/>
        <w:left w:val="none" w:sz="0" w:space="0" w:color="auto"/>
        <w:bottom w:val="none" w:sz="0" w:space="0" w:color="auto"/>
        <w:right w:val="none" w:sz="0" w:space="0" w:color="auto"/>
      </w:divBdr>
    </w:div>
    <w:div w:id="1300499352">
      <w:bodyDiv w:val="1"/>
      <w:marLeft w:val="0"/>
      <w:marRight w:val="0"/>
      <w:marTop w:val="0"/>
      <w:marBottom w:val="0"/>
      <w:divBdr>
        <w:top w:val="none" w:sz="0" w:space="0" w:color="auto"/>
        <w:left w:val="none" w:sz="0" w:space="0" w:color="auto"/>
        <w:bottom w:val="none" w:sz="0" w:space="0" w:color="auto"/>
        <w:right w:val="none" w:sz="0" w:space="0" w:color="auto"/>
      </w:divBdr>
    </w:div>
    <w:div w:id="1310280417">
      <w:bodyDiv w:val="1"/>
      <w:marLeft w:val="0"/>
      <w:marRight w:val="0"/>
      <w:marTop w:val="0"/>
      <w:marBottom w:val="0"/>
      <w:divBdr>
        <w:top w:val="none" w:sz="0" w:space="0" w:color="auto"/>
        <w:left w:val="none" w:sz="0" w:space="0" w:color="auto"/>
        <w:bottom w:val="none" w:sz="0" w:space="0" w:color="auto"/>
        <w:right w:val="none" w:sz="0" w:space="0" w:color="auto"/>
      </w:divBdr>
    </w:div>
    <w:div w:id="1316111138">
      <w:bodyDiv w:val="1"/>
      <w:marLeft w:val="0"/>
      <w:marRight w:val="0"/>
      <w:marTop w:val="0"/>
      <w:marBottom w:val="0"/>
      <w:divBdr>
        <w:top w:val="none" w:sz="0" w:space="0" w:color="auto"/>
        <w:left w:val="none" w:sz="0" w:space="0" w:color="auto"/>
        <w:bottom w:val="none" w:sz="0" w:space="0" w:color="auto"/>
        <w:right w:val="none" w:sz="0" w:space="0" w:color="auto"/>
      </w:divBdr>
    </w:div>
    <w:div w:id="1318195103">
      <w:bodyDiv w:val="1"/>
      <w:marLeft w:val="0"/>
      <w:marRight w:val="0"/>
      <w:marTop w:val="0"/>
      <w:marBottom w:val="0"/>
      <w:divBdr>
        <w:top w:val="none" w:sz="0" w:space="0" w:color="auto"/>
        <w:left w:val="none" w:sz="0" w:space="0" w:color="auto"/>
        <w:bottom w:val="none" w:sz="0" w:space="0" w:color="auto"/>
        <w:right w:val="none" w:sz="0" w:space="0" w:color="auto"/>
      </w:divBdr>
    </w:div>
    <w:div w:id="1320840850">
      <w:bodyDiv w:val="1"/>
      <w:marLeft w:val="0"/>
      <w:marRight w:val="0"/>
      <w:marTop w:val="0"/>
      <w:marBottom w:val="0"/>
      <w:divBdr>
        <w:top w:val="none" w:sz="0" w:space="0" w:color="auto"/>
        <w:left w:val="none" w:sz="0" w:space="0" w:color="auto"/>
        <w:bottom w:val="none" w:sz="0" w:space="0" w:color="auto"/>
        <w:right w:val="none" w:sz="0" w:space="0" w:color="auto"/>
      </w:divBdr>
    </w:div>
    <w:div w:id="1321427192">
      <w:bodyDiv w:val="1"/>
      <w:marLeft w:val="0"/>
      <w:marRight w:val="0"/>
      <w:marTop w:val="0"/>
      <w:marBottom w:val="0"/>
      <w:divBdr>
        <w:top w:val="none" w:sz="0" w:space="0" w:color="auto"/>
        <w:left w:val="none" w:sz="0" w:space="0" w:color="auto"/>
        <w:bottom w:val="none" w:sz="0" w:space="0" w:color="auto"/>
        <w:right w:val="none" w:sz="0" w:space="0" w:color="auto"/>
      </w:divBdr>
    </w:div>
    <w:div w:id="1325741721">
      <w:bodyDiv w:val="1"/>
      <w:marLeft w:val="0"/>
      <w:marRight w:val="0"/>
      <w:marTop w:val="0"/>
      <w:marBottom w:val="0"/>
      <w:divBdr>
        <w:top w:val="none" w:sz="0" w:space="0" w:color="auto"/>
        <w:left w:val="none" w:sz="0" w:space="0" w:color="auto"/>
        <w:bottom w:val="none" w:sz="0" w:space="0" w:color="auto"/>
        <w:right w:val="none" w:sz="0" w:space="0" w:color="auto"/>
      </w:divBdr>
    </w:div>
    <w:div w:id="1325860259">
      <w:bodyDiv w:val="1"/>
      <w:marLeft w:val="0"/>
      <w:marRight w:val="0"/>
      <w:marTop w:val="0"/>
      <w:marBottom w:val="0"/>
      <w:divBdr>
        <w:top w:val="none" w:sz="0" w:space="0" w:color="auto"/>
        <w:left w:val="none" w:sz="0" w:space="0" w:color="auto"/>
        <w:bottom w:val="none" w:sz="0" w:space="0" w:color="auto"/>
        <w:right w:val="none" w:sz="0" w:space="0" w:color="auto"/>
      </w:divBdr>
    </w:div>
    <w:div w:id="1342126817">
      <w:bodyDiv w:val="1"/>
      <w:marLeft w:val="0"/>
      <w:marRight w:val="0"/>
      <w:marTop w:val="0"/>
      <w:marBottom w:val="0"/>
      <w:divBdr>
        <w:top w:val="none" w:sz="0" w:space="0" w:color="auto"/>
        <w:left w:val="none" w:sz="0" w:space="0" w:color="auto"/>
        <w:bottom w:val="none" w:sz="0" w:space="0" w:color="auto"/>
        <w:right w:val="none" w:sz="0" w:space="0" w:color="auto"/>
      </w:divBdr>
      <w:divsChild>
        <w:div w:id="38433066">
          <w:marLeft w:val="0"/>
          <w:marRight w:val="0"/>
          <w:marTop w:val="0"/>
          <w:marBottom w:val="120"/>
          <w:divBdr>
            <w:top w:val="none" w:sz="0" w:space="0" w:color="auto"/>
            <w:left w:val="none" w:sz="0" w:space="0" w:color="auto"/>
            <w:bottom w:val="none" w:sz="0" w:space="0" w:color="auto"/>
            <w:right w:val="none" w:sz="0" w:space="0" w:color="auto"/>
          </w:divBdr>
          <w:divsChild>
            <w:div w:id="683435679">
              <w:marLeft w:val="0"/>
              <w:marRight w:val="0"/>
              <w:marTop w:val="0"/>
              <w:marBottom w:val="0"/>
              <w:divBdr>
                <w:top w:val="none" w:sz="0" w:space="0" w:color="auto"/>
                <w:left w:val="none" w:sz="0" w:space="0" w:color="auto"/>
                <w:bottom w:val="none" w:sz="0" w:space="0" w:color="auto"/>
                <w:right w:val="none" w:sz="0" w:space="0" w:color="auto"/>
              </w:divBdr>
            </w:div>
            <w:div w:id="832838012">
              <w:marLeft w:val="0"/>
              <w:marRight w:val="0"/>
              <w:marTop w:val="0"/>
              <w:marBottom w:val="72"/>
              <w:divBdr>
                <w:top w:val="none" w:sz="0" w:space="0" w:color="auto"/>
                <w:left w:val="none" w:sz="0" w:space="0" w:color="auto"/>
                <w:bottom w:val="none" w:sz="0" w:space="0" w:color="auto"/>
                <w:right w:val="none" w:sz="0" w:space="0" w:color="auto"/>
              </w:divBdr>
            </w:div>
          </w:divsChild>
        </w:div>
        <w:div w:id="49041811">
          <w:marLeft w:val="0"/>
          <w:marRight w:val="0"/>
          <w:marTop w:val="0"/>
          <w:marBottom w:val="48"/>
          <w:divBdr>
            <w:top w:val="none" w:sz="0" w:space="0" w:color="auto"/>
            <w:left w:val="none" w:sz="0" w:space="0" w:color="auto"/>
            <w:bottom w:val="none" w:sz="0" w:space="0" w:color="auto"/>
            <w:right w:val="none" w:sz="0" w:space="0" w:color="auto"/>
          </w:divBdr>
        </w:div>
        <w:div w:id="140077015">
          <w:marLeft w:val="0"/>
          <w:marRight w:val="0"/>
          <w:marTop w:val="0"/>
          <w:marBottom w:val="180"/>
          <w:divBdr>
            <w:top w:val="none" w:sz="0" w:space="0" w:color="auto"/>
            <w:left w:val="none" w:sz="0" w:space="0" w:color="auto"/>
            <w:bottom w:val="none" w:sz="0" w:space="0" w:color="auto"/>
            <w:right w:val="none" w:sz="0" w:space="0" w:color="auto"/>
          </w:divBdr>
        </w:div>
        <w:div w:id="271792529">
          <w:marLeft w:val="0"/>
          <w:marRight w:val="0"/>
          <w:marTop w:val="0"/>
          <w:marBottom w:val="0"/>
          <w:divBdr>
            <w:top w:val="none" w:sz="0" w:space="0" w:color="auto"/>
            <w:left w:val="none" w:sz="0" w:space="0" w:color="auto"/>
            <w:bottom w:val="none" w:sz="0" w:space="0" w:color="auto"/>
            <w:right w:val="none" w:sz="0" w:space="0" w:color="auto"/>
          </w:divBdr>
        </w:div>
        <w:div w:id="282347613">
          <w:marLeft w:val="0"/>
          <w:marRight w:val="0"/>
          <w:marTop w:val="0"/>
          <w:marBottom w:val="0"/>
          <w:divBdr>
            <w:top w:val="none" w:sz="0" w:space="0" w:color="auto"/>
            <w:left w:val="none" w:sz="0" w:space="0" w:color="auto"/>
            <w:bottom w:val="none" w:sz="0" w:space="0" w:color="auto"/>
            <w:right w:val="none" w:sz="0" w:space="0" w:color="auto"/>
          </w:divBdr>
          <w:divsChild>
            <w:div w:id="279532772">
              <w:marLeft w:val="0"/>
              <w:marRight w:val="0"/>
              <w:marTop w:val="0"/>
              <w:marBottom w:val="180"/>
              <w:divBdr>
                <w:top w:val="none" w:sz="0" w:space="0" w:color="auto"/>
                <w:left w:val="none" w:sz="0" w:space="0" w:color="auto"/>
                <w:bottom w:val="none" w:sz="0" w:space="0" w:color="auto"/>
                <w:right w:val="none" w:sz="0" w:space="0" w:color="auto"/>
              </w:divBdr>
            </w:div>
            <w:div w:id="581720584">
              <w:marLeft w:val="0"/>
              <w:marRight w:val="0"/>
              <w:marTop w:val="0"/>
              <w:marBottom w:val="0"/>
              <w:divBdr>
                <w:top w:val="none" w:sz="0" w:space="0" w:color="auto"/>
                <w:left w:val="none" w:sz="0" w:space="0" w:color="auto"/>
                <w:bottom w:val="none" w:sz="0" w:space="0" w:color="auto"/>
                <w:right w:val="none" w:sz="0" w:space="0" w:color="auto"/>
              </w:divBdr>
            </w:div>
            <w:div w:id="1135029748">
              <w:marLeft w:val="0"/>
              <w:marRight w:val="0"/>
              <w:marTop w:val="0"/>
              <w:marBottom w:val="0"/>
              <w:divBdr>
                <w:top w:val="none" w:sz="0" w:space="0" w:color="auto"/>
                <w:left w:val="none" w:sz="0" w:space="0" w:color="auto"/>
                <w:bottom w:val="none" w:sz="0" w:space="0" w:color="auto"/>
                <w:right w:val="none" w:sz="0" w:space="0" w:color="auto"/>
              </w:divBdr>
            </w:div>
            <w:div w:id="1659917359">
              <w:marLeft w:val="0"/>
              <w:marRight w:val="0"/>
              <w:marTop w:val="0"/>
              <w:marBottom w:val="120"/>
              <w:divBdr>
                <w:top w:val="none" w:sz="0" w:space="0" w:color="auto"/>
                <w:left w:val="none" w:sz="0" w:space="0" w:color="auto"/>
                <w:bottom w:val="none" w:sz="0" w:space="0" w:color="auto"/>
                <w:right w:val="none" w:sz="0" w:space="0" w:color="auto"/>
              </w:divBdr>
            </w:div>
          </w:divsChild>
        </w:div>
        <w:div w:id="349063790">
          <w:marLeft w:val="0"/>
          <w:marRight w:val="0"/>
          <w:marTop w:val="0"/>
          <w:marBottom w:val="0"/>
          <w:divBdr>
            <w:top w:val="none" w:sz="0" w:space="0" w:color="auto"/>
            <w:left w:val="none" w:sz="0" w:space="0" w:color="auto"/>
            <w:bottom w:val="none" w:sz="0" w:space="0" w:color="auto"/>
            <w:right w:val="none" w:sz="0" w:space="0" w:color="auto"/>
          </w:divBdr>
        </w:div>
        <w:div w:id="650910695">
          <w:marLeft w:val="0"/>
          <w:marRight w:val="0"/>
          <w:marTop w:val="0"/>
          <w:marBottom w:val="0"/>
          <w:divBdr>
            <w:top w:val="none" w:sz="0" w:space="0" w:color="auto"/>
            <w:left w:val="none" w:sz="0" w:space="0" w:color="auto"/>
            <w:bottom w:val="none" w:sz="0" w:space="0" w:color="auto"/>
            <w:right w:val="none" w:sz="0" w:space="0" w:color="auto"/>
          </w:divBdr>
        </w:div>
        <w:div w:id="812914303">
          <w:marLeft w:val="0"/>
          <w:marRight w:val="0"/>
          <w:marTop w:val="0"/>
          <w:marBottom w:val="0"/>
          <w:divBdr>
            <w:top w:val="none" w:sz="0" w:space="0" w:color="auto"/>
            <w:left w:val="none" w:sz="0" w:space="0" w:color="auto"/>
            <w:bottom w:val="none" w:sz="0" w:space="0" w:color="auto"/>
            <w:right w:val="none" w:sz="0" w:space="0" w:color="auto"/>
          </w:divBdr>
        </w:div>
        <w:div w:id="872695115">
          <w:marLeft w:val="0"/>
          <w:marRight w:val="0"/>
          <w:marTop w:val="0"/>
          <w:marBottom w:val="0"/>
          <w:divBdr>
            <w:top w:val="none" w:sz="0" w:space="0" w:color="auto"/>
            <w:left w:val="none" w:sz="0" w:space="0" w:color="auto"/>
            <w:bottom w:val="none" w:sz="0" w:space="0" w:color="auto"/>
            <w:right w:val="none" w:sz="0" w:space="0" w:color="auto"/>
          </w:divBdr>
        </w:div>
        <w:div w:id="1335455049">
          <w:marLeft w:val="0"/>
          <w:marRight w:val="0"/>
          <w:marTop w:val="0"/>
          <w:marBottom w:val="120"/>
          <w:divBdr>
            <w:top w:val="none" w:sz="0" w:space="0" w:color="auto"/>
            <w:left w:val="none" w:sz="0" w:space="0" w:color="auto"/>
            <w:bottom w:val="none" w:sz="0" w:space="0" w:color="auto"/>
            <w:right w:val="none" w:sz="0" w:space="0" w:color="auto"/>
          </w:divBdr>
        </w:div>
        <w:div w:id="1553806900">
          <w:marLeft w:val="0"/>
          <w:marRight w:val="0"/>
          <w:marTop w:val="0"/>
          <w:marBottom w:val="0"/>
          <w:divBdr>
            <w:top w:val="none" w:sz="0" w:space="0" w:color="auto"/>
            <w:left w:val="none" w:sz="0" w:space="0" w:color="auto"/>
            <w:bottom w:val="none" w:sz="0" w:space="0" w:color="auto"/>
            <w:right w:val="none" w:sz="0" w:space="0" w:color="auto"/>
          </w:divBdr>
          <w:divsChild>
            <w:div w:id="418143590">
              <w:marLeft w:val="0"/>
              <w:marRight w:val="0"/>
              <w:marTop w:val="0"/>
              <w:marBottom w:val="48"/>
              <w:divBdr>
                <w:top w:val="none" w:sz="0" w:space="0" w:color="auto"/>
                <w:left w:val="none" w:sz="0" w:space="0" w:color="auto"/>
                <w:bottom w:val="none" w:sz="0" w:space="0" w:color="auto"/>
                <w:right w:val="none" w:sz="0" w:space="0" w:color="auto"/>
              </w:divBdr>
            </w:div>
            <w:div w:id="503135513">
              <w:marLeft w:val="0"/>
              <w:marRight w:val="0"/>
              <w:marTop w:val="0"/>
              <w:marBottom w:val="180"/>
              <w:divBdr>
                <w:top w:val="none" w:sz="0" w:space="0" w:color="auto"/>
                <w:left w:val="none" w:sz="0" w:space="0" w:color="auto"/>
                <w:bottom w:val="none" w:sz="0" w:space="0" w:color="auto"/>
                <w:right w:val="none" w:sz="0" w:space="0" w:color="auto"/>
              </w:divBdr>
            </w:div>
            <w:div w:id="589048175">
              <w:marLeft w:val="0"/>
              <w:marRight w:val="0"/>
              <w:marTop w:val="0"/>
              <w:marBottom w:val="0"/>
              <w:divBdr>
                <w:top w:val="none" w:sz="0" w:space="0" w:color="auto"/>
                <w:left w:val="none" w:sz="0" w:space="0" w:color="auto"/>
                <w:bottom w:val="none" w:sz="0" w:space="0" w:color="auto"/>
                <w:right w:val="none" w:sz="0" w:space="0" w:color="auto"/>
              </w:divBdr>
            </w:div>
            <w:div w:id="1601520859">
              <w:marLeft w:val="0"/>
              <w:marRight w:val="0"/>
              <w:marTop w:val="0"/>
              <w:marBottom w:val="120"/>
              <w:divBdr>
                <w:top w:val="none" w:sz="0" w:space="0" w:color="auto"/>
                <w:left w:val="none" w:sz="0" w:space="0" w:color="auto"/>
                <w:bottom w:val="none" w:sz="0" w:space="0" w:color="auto"/>
                <w:right w:val="none" w:sz="0" w:space="0" w:color="auto"/>
              </w:divBdr>
              <w:divsChild>
                <w:div w:id="657227150">
                  <w:marLeft w:val="0"/>
                  <w:marRight w:val="0"/>
                  <w:marTop w:val="0"/>
                  <w:marBottom w:val="72"/>
                  <w:divBdr>
                    <w:top w:val="none" w:sz="0" w:space="0" w:color="auto"/>
                    <w:left w:val="none" w:sz="0" w:space="0" w:color="auto"/>
                    <w:bottom w:val="none" w:sz="0" w:space="0" w:color="auto"/>
                    <w:right w:val="none" w:sz="0" w:space="0" w:color="auto"/>
                  </w:divBdr>
                </w:div>
              </w:divsChild>
            </w:div>
            <w:div w:id="1741367465">
              <w:marLeft w:val="0"/>
              <w:marRight w:val="0"/>
              <w:marTop w:val="0"/>
              <w:marBottom w:val="0"/>
              <w:divBdr>
                <w:top w:val="none" w:sz="0" w:space="0" w:color="auto"/>
                <w:left w:val="none" w:sz="0" w:space="0" w:color="auto"/>
                <w:bottom w:val="none" w:sz="0" w:space="0" w:color="auto"/>
                <w:right w:val="none" w:sz="0" w:space="0" w:color="auto"/>
              </w:divBdr>
            </w:div>
            <w:div w:id="1981111452">
              <w:marLeft w:val="0"/>
              <w:marRight w:val="0"/>
              <w:marTop w:val="0"/>
              <w:marBottom w:val="120"/>
              <w:divBdr>
                <w:top w:val="none" w:sz="0" w:space="0" w:color="auto"/>
                <w:left w:val="none" w:sz="0" w:space="0" w:color="auto"/>
                <w:bottom w:val="none" w:sz="0" w:space="0" w:color="auto"/>
                <w:right w:val="none" w:sz="0" w:space="0" w:color="auto"/>
              </w:divBdr>
            </w:div>
          </w:divsChild>
        </w:div>
        <w:div w:id="1722441715">
          <w:marLeft w:val="0"/>
          <w:marRight w:val="0"/>
          <w:marTop w:val="0"/>
          <w:marBottom w:val="0"/>
          <w:divBdr>
            <w:top w:val="none" w:sz="0" w:space="0" w:color="auto"/>
            <w:left w:val="none" w:sz="0" w:space="0" w:color="auto"/>
            <w:bottom w:val="none" w:sz="0" w:space="0" w:color="auto"/>
            <w:right w:val="none" w:sz="0" w:space="0" w:color="auto"/>
          </w:divBdr>
        </w:div>
        <w:div w:id="2067147371">
          <w:marLeft w:val="0"/>
          <w:marRight w:val="0"/>
          <w:marTop w:val="0"/>
          <w:marBottom w:val="0"/>
          <w:divBdr>
            <w:top w:val="none" w:sz="0" w:space="0" w:color="auto"/>
            <w:left w:val="none" w:sz="0" w:space="0" w:color="auto"/>
            <w:bottom w:val="none" w:sz="0" w:space="0" w:color="auto"/>
            <w:right w:val="none" w:sz="0" w:space="0" w:color="auto"/>
          </w:divBdr>
          <w:divsChild>
            <w:div w:id="80684725">
              <w:marLeft w:val="0"/>
              <w:marRight w:val="0"/>
              <w:marTop w:val="0"/>
              <w:marBottom w:val="0"/>
              <w:divBdr>
                <w:top w:val="none" w:sz="0" w:space="0" w:color="auto"/>
                <w:left w:val="none" w:sz="0" w:space="0" w:color="auto"/>
                <w:bottom w:val="none" w:sz="0" w:space="0" w:color="auto"/>
                <w:right w:val="none" w:sz="0" w:space="0" w:color="auto"/>
              </w:divBdr>
              <w:divsChild>
                <w:div w:id="1654680520">
                  <w:marLeft w:val="0"/>
                  <w:marRight w:val="0"/>
                  <w:marTop w:val="0"/>
                  <w:marBottom w:val="0"/>
                  <w:divBdr>
                    <w:top w:val="none" w:sz="0" w:space="0" w:color="auto"/>
                    <w:left w:val="none" w:sz="0" w:space="0" w:color="auto"/>
                    <w:bottom w:val="none" w:sz="0" w:space="0" w:color="auto"/>
                    <w:right w:val="none" w:sz="0" w:space="0" w:color="auto"/>
                  </w:divBdr>
                  <w:divsChild>
                    <w:div w:id="90899805">
                      <w:marLeft w:val="0"/>
                      <w:marRight w:val="0"/>
                      <w:marTop w:val="0"/>
                      <w:marBottom w:val="0"/>
                      <w:divBdr>
                        <w:top w:val="none" w:sz="0" w:space="0" w:color="auto"/>
                        <w:left w:val="none" w:sz="0" w:space="0" w:color="auto"/>
                        <w:bottom w:val="none" w:sz="0" w:space="0" w:color="auto"/>
                        <w:right w:val="none" w:sz="0" w:space="0" w:color="auto"/>
                      </w:divBdr>
                    </w:div>
                    <w:div w:id="252472771">
                      <w:marLeft w:val="0"/>
                      <w:marRight w:val="0"/>
                      <w:marTop w:val="0"/>
                      <w:marBottom w:val="0"/>
                      <w:divBdr>
                        <w:top w:val="none" w:sz="0" w:space="0" w:color="auto"/>
                        <w:left w:val="none" w:sz="0" w:space="0" w:color="auto"/>
                        <w:bottom w:val="none" w:sz="0" w:space="0" w:color="auto"/>
                        <w:right w:val="none" w:sz="0" w:space="0" w:color="auto"/>
                      </w:divBdr>
                    </w:div>
                    <w:div w:id="12023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2185">
          <w:marLeft w:val="0"/>
          <w:marRight w:val="0"/>
          <w:marTop w:val="0"/>
          <w:marBottom w:val="0"/>
          <w:divBdr>
            <w:top w:val="none" w:sz="0" w:space="0" w:color="auto"/>
            <w:left w:val="none" w:sz="0" w:space="0" w:color="auto"/>
            <w:bottom w:val="none" w:sz="0" w:space="0" w:color="auto"/>
            <w:right w:val="none" w:sz="0" w:space="0" w:color="auto"/>
          </w:divBdr>
        </w:div>
        <w:div w:id="2121532434">
          <w:marLeft w:val="0"/>
          <w:marRight w:val="0"/>
          <w:marTop w:val="0"/>
          <w:marBottom w:val="0"/>
          <w:divBdr>
            <w:top w:val="none" w:sz="0" w:space="0" w:color="auto"/>
            <w:left w:val="none" w:sz="0" w:space="0" w:color="auto"/>
            <w:bottom w:val="none" w:sz="0" w:space="0" w:color="auto"/>
            <w:right w:val="none" w:sz="0" w:space="0" w:color="auto"/>
          </w:divBdr>
        </w:div>
      </w:divsChild>
    </w:div>
    <w:div w:id="1350718957">
      <w:bodyDiv w:val="1"/>
      <w:marLeft w:val="0"/>
      <w:marRight w:val="0"/>
      <w:marTop w:val="0"/>
      <w:marBottom w:val="0"/>
      <w:divBdr>
        <w:top w:val="none" w:sz="0" w:space="0" w:color="auto"/>
        <w:left w:val="none" w:sz="0" w:space="0" w:color="auto"/>
        <w:bottom w:val="none" w:sz="0" w:space="0" w:color="auto"/>
        <w:right w:val="none" w:sz="0" w:space="0" w:color="auto"/>
      </w:divBdr>
      <w:divsChild>
        <w:div w:id="216820055">
          <w:marLeft w:val="0"/>
          <w:marRight w:val="0"/>
          <w:marTop w:val="0"/>
          <w:marBottom w:val="0"/>
          <w:divBdr>
            <w:top w:val="none" w:sz="0" w:space="0" w:color="auto"/>
            <w:left w:val="none" w:sz="0" w:space="0" w:color="auto"/>
            <w:bottom w:val="none" w:sz="0" w:space="0" w:color="auto"/>
            <w:right w:val="none" w:sz="0" w:space="0" w:color="auto"/>
          </w:divBdr>
        </w:div>
      </w:divsChild>
    </w:div>
    <w:div w:id="1351296653">
      <w:bodyDiv w:val="1"/>
      <w:marLeft w:val="0"/>
      <w:marRight w:val="0"/>
      <w:marTop w:val="0"/>
      <w:marBottom w:val="0"/>
      <w:divBdr>
        <w:top w:val="none" w:sz="0" w:space="0" w:color="auto"/>
        <w:left w:val="none" w:sz="0" w:space="0" w:color="auto"/>
        <w:bottom w:val="none" w:sz="0" w:space="0" w:color="auto"/>
        <w:right w:val="none" w:sz="0" w:space="0" w:color="auto"/>
      </w:divBdr>
    </w:div>
    <w:div w:id="1371026636">
      <w:bodyDiv w:val="1"/>
      <w:marLeft w:val="0"/>
      <w:marRight w:val="0"/>
      <w:marTop w:val="0"/>
      <w:marBottom w:val="0"/>
      <w:divBdr>
        <w:top w:val="none" w:sz="0" w:space="0" w:color="auto"/>
        <w:left w:val="none" w:sz="0" w:space="0" w:color="auto"/>
        <w:bottom w:val="none" w:sz="0" w:space="0" w:color="auto"/>
        <w:right w:val="none" w:sz="0" w:space="0" w:color="auto"/>
      </w:divBdr>
    </w:div>
    <w:div w:id="1375692356">
      <w:bodyDiv w:val="1"/>
      <w:marLeft w:val="0"/>
      <w:marRight w:val="0"/>
      <w:marTop w:val="0"/>
      <w:marBottom w:val="0"/>
      <w:divBdr>
        <w:top w:val="none" w:sz="0" w:space="0" w:color="auto"/>
        <w:left w:val="none" w:sz="0" w:space="0" w:color="auto"/>
        <w:bottom w:val="none" w:sz="0" w:space="0" w:color="auto"/>
        <w:right w:val="none" w:sz="0" w:space="0" w:color="auto"/>
      </w:divBdr>
    </w:div>
    <w:div w:id="1380587637">
      <w:bodyDiv w:val="1"/>
      <w:marLeft w:val="0"/>
      <w:marRight w:val="0"/>
      <w:marTop w:val="0"/>
      <w:marBottom w:val="0"/>
      <w:divBdr>
        <w:top w:val="none" w:sz="0" w:space="0" w:color="auto"/>
        <w:left w:val="none" w:sz="0" w:space="0" w:color="auto"/>
        <w:bottom w:val="none" w:sz="0" w:space="0" w:color="auto"/>
        <w:right w:val="none" w:sz="0" w:space="0" w:color="auto"/>
      </w:divBdr>
    </w:div>
    <w:div w:id="1390612530">
      <w:bodyDiv w:val="1"/>
      <w:marLeft w:val="0"/>
      <w:marRight w:val="0"/>
      <w:marTop w:val="0"/>
      <w:marBottom w:val="0"/>
      <w:divBdr>
        <w:top w:val="none" w:sz="0" w:space="0" w:color="auto"/>
        <w:left w:val="none" w:sz="0" w:space="0" w:color="auto"/>
        <w:bottom w:val="none" w:sz="0" w:space="0" w:color="auto"/>
        <w:right w:val="none" w:sz="0" w:space="0" w:color="auto"/>
      </w:divBdr>
    </w:div>
    <w:div w:id="1395591515">
      <w:bodyDiv w:val="1"/>
      <w:marLeft w:val="0"/>
      <w:marRight w:val="0"/>
      <w:marTop w:val="0"/>
      <w:marBottom w:val="0"/>
      <w:divBdr>
        <w:top w:val="none" w:sz="0" w:space="0" w:color="auto"/>
        <w:left w:val="none" w:sz="0" w:space="0" w:color="auto"/>
        <w:bottom w:val="none" w:sz="0" w:space="0" w:color="auto"/>
        <w:right w:val="none" w:sz="0" w:space="0" w:color="auto"/>
      </w:divBdr>
    </w:div>
    <w:div w:id="1398819297">
      <w:bodyDiv w:val="1"/>
      <w:marLeft w:val="0"/>
      <w:marRight w:val="0"/>
      <w:marTop w:val="0"/>
      <w:marBottom w:val="0"/>
      <w:divBdr>
        <w:top w:val="none" w:sz="0" w:space="0" w:color="auto"/>
        <w:left w:val="none" w:sz="0" w:space="0" w:color="auto"/>
        <w:bottom w:val="none" w:sz="0" w:space="0" w:color="auto"/>
        <w:right w:val="none" w:sz="0" w:space="0" w:color="auto"/>
      </w:divBdr>
    </w:div>
    <w:div w:id="1403020192">
      <w:bodyDiv w:val="1"/>
      <w:marLeft w:val="0"/>
      <w:marRight w:val="0"/>
      <w:marTop w:val="0"/>
      <w:marBottom w:val="0"/>
      <w:divBdr>
        <w:top w:val="none" w:sz="0" w:space="0" w:color="auto"/>
        <w:left w:val="none" w:sz="0" w:space="0" w:color="auto"/>
        <w:bottom w:val="none" w:sz="0" w:space="0" w:color="auto"/>
        <w:right w:val="none" w:sz="0" w:space="0" w:color="auto"/>
      </w:divBdr>
    </w:div>
    <w:div w:id="1405223823">
      <w:bodyDiv w:val="1"/>
      <w:marLeft w:val="0"/>
      <w:marRight w:val="0"/>
      <w:marTop w:val="0"/>
      <w:marBottom w:val="0"/>
      <w:divBdr>
        <w:top w:val="none" w:sz="0" w:space="0" w:color="auto"/>
        <w:left w:val="none" w:sz="0" w:space="0" w:color="auto"/>
        <w:bottom w:val="none" w:sz="0" w:space="0" w:color="auto"/>
        <w:right w:val="none" w:sz="0" w:space="0" w:color="auto"/>
      </w:divBdr>
    </w:div>
    <w:div w:id="1407804686">
      <w:bodyDiv w:val="1"/>
      <w:marLeft w:val="0"/>
      <w:marRight w:val="0"/>
      <w:marTop w:val="0"/>
      <w:marBottom w:val="0"/>
      <w:divBdr>
        <w:top w:val="none" w:sz="0" w:space="0" w:color="auto"/>
        <w:left w:val="none" w:sz="0" w:space="0" w:color="auto"/>
        <w:bottom w:val="none" w:sz="0" w:space="0" w:color="auto"/>
        <w:right w:val="none" w:sz="0" w:space="0" w:color="auto"/>
      </w:divBdr>
      <w:divsChild>
        <w:div w:id="1495876735">
          <w:marLeft w:val="0"/>
          <w:marRight w:val="0"/>
          <w:marTop w:val="0"/>
          <w:marBottom w:val="0"/>
          <w:divBdr>
            <w:top w:val="none" w:sz="0" w:space="0" w:color="auto"/>
            <w:left w:val="none" w:sz="0" w:space="0" w:color="auto"/>
            <w:bottom w:val="none" w:sz="0" w:space="0" w:color="auto"/>
            <w:right w:val="none" w:sz="0" w:space="0" w:color="auto"/>
          </w:divBdr>
          <w:divsChild>
            <w:div w:id="8225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2536">
      <w:bodyDiv w:val="1"/>
      <w:marLeft w:val="0"/>
      <w:marRight w:val="0"/>
      <w:marTop w:val="0"/>
      <w:marBottom w:val="0"/>
      <w:divBdr>
        <w:top w:val="none" w:sz="0" w:space="0" w:color="auto"/>
        <w:left w:val="none" w:sz="0" w:space="0" w:color="auto"/>
        <w:bottom w:val="none" w:sz="0" w:space="0" w:color="auto"/>
        <w:right w:val="none" w:sz="0" w:space="0" w:color="auto"/>
      </w:divBdr>
    </w:div>
    <w:div w:id="1415666262">
      <w:bodyDiv w:val="1"/>
      <w:marLeft w:val="0"/>
      <w:marRight w:val="0"/>
      <w:marTop w:val="0"/>
      <w:marBottom w:val="0"/>
      <w:divBdr>
        <w:top w:val="none" w:sz="0" w:space="0" w:color="auto"/>
        <w:left w:val="none" w:sz="0" w:space="0" w:color="auto"/>
        <w:bottom w:val="none" w:sz="0" w:space="0" w:color="auto"/>
        <w:right w:val="none" w:sz="0" w:space="0" w:color="auto"/>
      </w:divBdr>
    </w:div>
    <w:div w:id="1419444610">
      <w:bodyDiv w:val="1"/>
      <w:marLeft w:val="0"/>
      <w:marRight w:val="0"/>
      <w:marTop w:val="0"/>
      <w:marBottom w:val="0"/>
      <w:divBdr>
        <w:top w:val="none" w:sz="0" w:space="0" w:color="auto"/>
        <w:left w:val="none" w:sz="0" w:space="0" w:color="auto"/>
        <w:bottom w:val="none" w:sz="0" w:space="0" w:color="auto"/>
        <w:right w:val="none" w:sz="0" w:space="0" w:color="auto"/>
      </w:divBdr>
    </w:div>
    <w:div w:id="1424181711">
      <w:bodyDiv w:val="1"/>
      <w:marLeft w:val="0"/>
      <w:marRight w:val="0"/>
      <w:marTop w:val="0"/>
      <w:marBottom w:val="0"/>
      <w:divBdr>
        <w:top w:val="none" w:sz="0" w:space="0" w:color="auto"/>
        <w:left w:val="none" w:sz="0" w:space="0" w:color="auto"/>
        <w:bottom w:val="none" w:sz="0" w:space="0" w:color="auto"/>
        <w:right w:val="none" w:sz="0" w:space="0" w:color="auto"/>
      </w:divBdr>
      <w:divsChild>
        <w:div w:id="1242256345">
          <w:marLeft w:val="0"/>
          <w:marRight w:val="0"/>
          <w:marTop w:val="0"/>
          <w:marBottom w:val="0"/>
          <w:divBdr>
            <w:top w:val="none" w:sz="0" w:space="0" w:color="auto"/>
            <w:left w:val="none" w:sz="0" w:space="0" w:color="auto"/>
            <w:bottom w:val="none" w:sz="0" w:space="0" w:color="auto"/>
            <w:right w:val="none" w:sz="0" w:space="0" w:color="auto"/>
          </w:divBdr>
          <w:divsChild>
            <w:div w:id="13176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933">
      <w:bodyDiv w:val="1"/>
      <w:marLeft w:val="0"/>
      <w:marRight w:val="0"/>
      <w:marTop w:val="0"/>
      <w:marBottom w:val="0"/>
      <w:divBdr>
        <w:top w:val="none" w:sz="0" w:space="0" w:color="auto"/>
        <w:left w:val="none" w:sz="0" w:space="0" w:color="auto"/>
        <w:bottom w:val="none" w:sz="0" w:space="0" w:color="auto"/>
        <w:right w:val="none" w:sz="0" w:space="0" w:color="auto"/>
      </w:divBdr>
    </w:div>
    <w:div w:id="1432240167">
      <w:bodyDiv w:val="1"/>
      <w:marLeft w:val="0"/>
      <w:marRight w:val="0"/>
      <w:marTop w:val="0"/>
      <w:marBottom w:val="0"/>
      <w:divBdr>
        <w:top w:val="none" w:sz="0" w:space="0" w:color="auto"/>
        <w:left w:val="none" w:sz="0" w:space="0" w:color="auto"/>
        <w:bottom w:val="none" w:sz="0" w:space="0" w:color="auto"/>
        <w:right w:val="none" w:sz="0" w:space="0" w:color="auto"/>
      </w:divBdr>
    </w:div>
    <w:div w:id="1435318569">
      <w:bodyDiv w:val="1"/>
      <w:marLeft w:val="0"/>
      <w:marRight w:val="0"/>
      <w:marTop w:val="0"/>
      <w:marBottom w:val="0"/>
      <w:divBdr>
        <w:top w:val="none" w:sz="0" w:space="0" w:color="auto"/>
        <w:left w:val="none" w:sz="0" w:space="0" w:color="auto"/>
        <w:bottom w:val="none" w:sz="0" w:space="0" w:color="auto"/>
        <w:right w:val="none" w:sz="0" w:space="0" w:color="auto"/>
      </w:divBdr>
    </w:div>
    <w:div w:id="1442215209">
      <w:bodyDiv w:val="1"/>
      <w:marLeft w:val="0"/>
      <w:marRight w:val="0"/>
      <w:marTop w:val="0"/>
      <w:marBottom w:val="0"/>
      <w:divBdr>
        <w:top w:val="none" w:sz="0" w:space="0" w:color="auto"/>
        <w:left w:val="none" w:sz="0" w:space="0" w:color="auto"/>
        <w:bottom w:val="none" w:sz="0" w:space="0" w:color="auto"/>
        <w:right w:val="none" w:sz="0" w:space="0" w:color="auto"/>
      </w:divBdr>
    </w:div>
    <w:div w:id="1443066489">
      <w:bodyDiv w:val="1"/>
      <w:marLeft w:val="0"/>
      <w:marRight w:val="0"/>
      <w:marTop w:val="0"/>
      <w:marBottom w:val="0"/>
      <w:divBdr>
        <w:top w:val="none" w:sz="0" w:space="0" w:color="auto"/>
        <w:left w:val="none" w:sz="0" w:space="0" w:color="auto"/>
        <w:bottom w:val="none" w:sz="0" w:space="0" w:color="auto"/>
        <w:right w:val="none" w:sz="0" w:space="0" w:color="auto"/>
      </w:divBdr>
    </w:div>
    <w:div w:id="1458791709">
      <w:bodyDiv w:val="1"/>
      <w:marLeft w:val="0"/>
      <w:marRight w:val="0"/>
      <w:marTop w:val="0"/>
      <w:marBottom w:val="0"/>
      <w:divBdr>
        <w:top w:val="none" w:sz="0" w:space="0" w:color="auto"/>
        <w:left w:val="none" w:sz="0" w:space="0" w:color="auto"/>
        <w:bottom w:val="none" w:sz="0" w:space="0" w:color="auto"/>
        <w:right w:val="none" w:sz="0" w:space="0" w:color="auto"/>
      </w:divBdr>
    </w:div>
    <w:div w:id="1462725752">
      <w:bodyDiv w:val="1"/>
      <w:marLeft w:val="0"/>
      <w:marRight w:val="0"/>
      <w:marTop w:val="0"/>
      <w:marBottom w:val="0"/>
      <w:divBdr>
        <w:top w:val="none" w:sz="0" w:space="0" w:color="auto"/>
        <w:left w:val="none" w:sz="0" w:space="0" w:color="auto"/>
        <w:bottom w:val="none" w:sz="0" w:space="0" w:color="auto"/>
        <w:right w:val="none" w:sz="0" w:space="0" w:color="auto"/>
      </w:divBdr>
    </w:div>
    <w:div w:id="1464469186">
      <w:bodyDiv w:val="1"/>
      <w:marLeft w:val="0"/>
      <w:marRight w:val="0"/>
      <w:marTop w:val="0"/>
      <w:marBottom w:val="0"/>
      <w:divBdr>
        <w:top w:val="none" w:sz="0" w:space="0" w:color="auto"/>
        <w:left w:val="none" w:sz="0" w:space="0" w:color="auto"/>
        <w:bottom w:val="none" w:sz="0" w:space="0" w:color="auto"/>
        <w:right w:val="none" w:sz="0" w:space="0" w:color="auto"/>
      </w:divBdr>
    </w:div>
    <w:div w:id="1480800432">
      <w:bodyDiv w:val="1"/>
      <w:marLeft w:val="0"/>
      <w:marRight w:val="0"/>
      <w:marTop w:val="0"/>
      <w:marBottom w:val="0"/>
      <w:divBdr>
        <w:top w:val="none" w:sz="0" w:space="0" w:color="auto"/>
        <w:left w:val="none" w:sz="0" w:space="0" w:color="auto"/>
        <w:bottom w:val="none" w:sz="0" w:space="0" w:color="auto"/>
        <w:right w:val="none" w:sz="0" w:space="0" w:color="auto"/>
      </w:divBdr>
    </w:div>
    <w:div w:id="1482848106">
      <w:bodyDiv w:val="1"/>
      <w:marLeft w:val="0"/>
      <w:marRight w:val="0"/>
      <w:marTop w:val="0"/>
      <w:marBottom w:val="0"/>
      <w:divBdr>
        <w:top w:val="none" w:sz="0" w:space="0" w:color="auto"/>
        <w:left w:val="none" w:sz="0" w:space="0" w:color="auto"/>
        <w:bottom w:val="none" w:sz="0" w:space="0" w:color="auto"/>
        <w:right w:val="none" w:sz="0" w:space="0" w:color="auto"/>
      </w:divBdr>
    </w:div>
    <w:div w:id="1486047129">
      <w:bodyDiv w:val="1"/>
      <w:marLeft w:val="0"/>
      <w:marRight w:val="0"/>
      <w:marTop w:val="0"/>
      <w:marBottom w:val="0"/>
      <w:divBdr>
        <w:top w:val="none" w:sz="0" w:space="0" w:color="auto"/>
        <w:left w:val="none" w:sz="0" w:space="0" w:color="auto"/>
        <w:bottom w:val="none" w:sz="0" w:space="0" w:color="auto"/>
        <w:right w:val="none" w:sz="0" w:space="0" w:color="auto"/>
      </w:divBdr>
    </w:div>
    <w:div w:id="1494949135">
      <w:bodyDiv w:val="1"/>
      <w:marLeft w:val="0"/>
      <w:marRight w:val="0"/>
      <w:marTop w:val="0"/>
      <w:marBottom w:val="0"/>
      <w:divBdr>
        <w:top w:val="none" w:sz="0" w:space="0" w:color="auto"/>
        <w:left w:val="none" w:sz="0" w:space="0" w:color="auto"/>
        <w:bottom w:val="none" w:sz="0" w:space="0" w:color="auto"/>
        <w:right w:val="none" w:sz="0" w:space="0" w:color="auto"/>
      </w:divBdr>
      <w:divsChild>
        <w:div w:id="1501777571">
          <w:marLeft w:val="0"/>
          <w:marRight w:val="0"/>
          <w:marTop w:val="0"/>
          <w:marBottom w:val="0"/>
          <w:divBdr>
            <w:top w:val="none" w:sz="0" w:space="0" w:color="auto"/>
            <w:left w:val="none" w:sz="0" w:space="0" w:color="auto"/>
            <w:bottom w:val="none" w:sz="0" w:space="0" w:color="auto"/>
            <w:right w:val="none" w:sz="0" w:space="0" w:color="auto"/>
          </w:divBdr>
        </w:div>
      </w:divsChild>
    </w:div>
    <w:div w:id="1495142156">
      <w:bodyDiv w:val="1"/>
      <w:marLeft w:val="0"/>
      <w:marRight w:val="0"/>
      <w:marTop w:val="0"/>
      <w:marBottom w:val="0"/>
      <w:divBdr>
        <w:top w:val="none" w:sz="0" w:space="0" w:color="auto"/>
        <w:left w:val="none" w:sz="0" w:space="0" w:color="auto"/>
        <w:bottom w:val="none" w:sz="0" w:space="0" w:color="auto"/>
        <w:right w:val="none" w:sz="0" w:space="0" w:color="auto"/>
      </w:divBdr>
    </w:div>
    <w:div w:id="1496414572">
      <w:bodyDiv w:val="1"/>
      <w:marLeft w:val="0"/>
      <w:marRight w:val="0"/>
      <w:marTop w:val="0"/>
      <w:marBottom w:val="0"/>
      <w:divBdr>
        <w:top w:val="none" w:sz="0" w:space="0" w:color="auto"/>
        <w:left w:val="none" w:sz="0" w:space="0" w:color="auto"/>
        <w:bottom w:val="none" w:sz="0" w:space="0" w:color="auto"/>
        <w:right w:val="none" w:sz="0" w:space="0" w:color="auto"/>
      </w:divBdr>
    </w:div>
    <w:div w:id="1504052973">
      <w:bodyDiv w:val="1"/>
      <w:marLeft w:val="0"/>
      <w:marRight w:val="0"/>
      <w:marTop w:val="0"/>
      <w:marBottom w:val="0"/>
      <w:divBdr>
        <w:top w:val="none" w:sz="0" w:space="0" w:color="auto"/>
        <w:left w:val="none" w:sz="0" w:space="0" w:color="auto"/>
        <w:bottom w:val="none" w:sz="0" w:space="0" w:color="auto"/>
        <w:right w:val="none" w:sz="0" w:space="0" w:color="auto"/>
      </w:divBdr>
    </w:div>
    <w:div w:id="1504664819">
      <w:bodyDiv w:val="1"/>
      <w:marLeft w:val="0"/>
      <w:marRight w:val="0"/>
      <w:marTop w:val="0"/>
      <w:marBottom w:val="0"/>
      <w:divBdr>
        <w:top w:val="none" w:sz="0" w:space="0" w:color="auto"/>
        <w:left w:val="none" w:sz="0" w:space="0" w:color="auto"/>
        <w:bottom w:val="none" w:sz="0" w:space="0" w:color="auto"/>
        <w:right w:val="none" w:sz="0" w:space="0" w:color="auto"/>
      </w:divBdr>
    </w:div>
    <w:div w:id="1506168973">
      <w:bodyDiv w:val="1"/>
      <w:marLeft w:val="0"/>
      <w:marRight w:val="0"/>
      <w:marTop w:val="0"/>
      <w:marBottom w:val="0"/>
      <w:divBdr>
        <w:top w:val="none" w:sz="0" w:space="0" w:color="auto"/>
        <w:left w:val="none" w:sz="0" w:space="0" w:color="auto"/>
        <w:bottom w:val="none" w:sz="0" w:space="0" w:color="auto"/>
        <w:right w:val="none" w:sz="0" w:space="0" w:color="auto"/>
      </w:divBdr>
    </w:div>
    <w:div w:id="1515532522">
      <w:bodyDiv w:val="1"/>
      <w:marLeft w:val="0"/>
      <w:marRight w:val="0"/>
      <w:marTop w:val="0"/>
      <w:marBottom w:val="0"/>
      <w:divBdr>
        <w:top w:val="none" w:sz="0" w:space="0" w:color="auto"/>
        <w:left w:val="none" w:sz="0" w:space="0" w:color="auto"/>
        <w:bottom w:val="none" w:sz="0" w:space="0" w:color="auto"/>
        <w:right w:val="none" w:sz="0" w:space="0" w:color="auto"/>
      </w:divBdr>
    </w:div>
    <w:div w:id="1519537392">
      <w:bodyDiv w:val="1"/>
      <w:marLeft w:val="0"/>
      <w:marRight w:val="0"/>
      <w:marTop w:val="0"/>
      <w:marBottom w:val="0"/>
      <w:divBdr>
        <w:top w:val="none" w:sz="0" w:space="0" w:color="auto"/>
        <w:left w:val="none" w:sz="0" w:space="0" w:color="auto"/>
        <w:bottom w:val="none" w:sz="0" w:space="0" w:color="auto"/>
        <w:right w:val="none" w:sz="0" w:space="0" w:color="auto"/>
      </w:divBdr>
    </w:div>
    <w:div w:id="1526021981">
      <w:bodyDiv w:val="1"/>
      <w:marLeft w:val="0"/>
      <w:marRight w:val="0"/>
      <w:marTop w:val="0"/>
      <w:marBottom w:val="0"/>
      <w:divBdr>
        <w:top w:val="none" w:sz="0" w:space="0" w:color="auto"/>
        <w:left w:val="none" w:sz="0" w:space="0" w:color="auto"/>
        <w:bottom w:val="none" w:sz="0" w:space="0" w:color="auto"/>
        <w:right w:val="none" w:sz="0" w:space="0" w:color="auto"/>
      </w:divBdr>
    </w:div>
    <w:div w:id="1533570899">
      <w:bodyDiv w:val="1"/>
      <w:marLeft w:val="0"/>
      <w:marRight w:val="0"/>
      <w:marTop w:val="0"/>
      <w:marBottom w:val="0"/>
      <w:divBdr>
        <w:top w:val="none" w:sz="0" w:space="0" w:color="auto"/>
        <w:left w:val="none" w:sz="0" w:space="0" w:color="auto"/>
        <w:bottom w:val="none" w:sz="0" w:space="0" w:color="auto"/>
        <w:right w:val="none" w:sz="0" w:space="0" w:color="auto"/>
      </w:divBdr>
    </w:div>
    <w:div w:id="1537888946">
      <w:bodyDiv w:val="1"/>
      <w:marLeft w:val="0"/>
      <w:marRight w:val="0"/>
      <w:marTop w:val="0"/>
      <w:marBottom w:val="0"/>
      <w:divBdr>
        <w:top w:val="none" w:sz="0" w:space="0" w:color="auto"/>
        <w:left w:val="none" w:sz="0" w:space="0" w:color="auto"/>
        <w:bottom w:val="none" w:sz="0" w:space="0" w:color="auto"/>
        <w:right w:val="none" w:sz="0" w:space="0" w:color="auto"/>
      </w:divBdr>
      <w:divsChild>
        <w:div w:id="1277709977">
          <w:marLeft w:val="0"/>
          <w:marRight w:val="0"/>
          <w:marTop w:val="0"/>
          <w:marBottom w:val="0"/>
          <w:divBdr>
            <w:top w:val="none" w:sz="0" w:space="0" w:color="auto"/>
            <w:left w:val="none" w:sz="0" w:space="0" w:color="auto"/>
            <w:bottom w:val="none" w:sz="0" w:space="0" w:color="auto"/>
            <w:right w:val="none" w:sz="0" w:space="0" w:color="auto"/>
          </w:divBdr>
        </w:div>
      </w:divsChild>
    </w:div>
    <w:div w:id="1566338158">
      <w:bodyDiv w:val="1"/>
      <w:marLeft w:val="0"/>
      <w:marRight w:val="0"/>
      <w:marTop w:val="0"/>
      <w:marBottom w:val="0"/>
      <w:divBdr>
        <w:top w:val="none" w:sz="0" w:space="0" w:color="auto"/>
        <w:left w:val="none" w:sz="0" w:space="0" w:color="auto"/>
        <w:bottom w:val="none" w:sz="0" w:space="0" w:color="auto"/>
        <w:right w:val="none" w:sz="0" w:space="0" w:color="auto"/>
      </w:divBdr>
    </w:div>
    <w:div w:id="1566648667">
      <w:bodyDiv w:val="1"/>
      <w:marLeft w:val="0"/>
      <w:marRight w:val="0"/>
      <w:marTop w:val="0"/>
      <w:marBottom w:val="0"/>
      <w:divBdr>
        <w:top w:val="none" w:sz="0" w:space="0" w:color="auto"/>
        <w:left w:val="none" w:sz="0" w:space="0" w:color="auto"/>
        <w:bottom w:val="none" w:sz="0" w:space="0" w:color="auto"/>
        <w:right w:val="none" w:sz="0" w:space="0" w:color="auto"/>
      </w:divBdr>
    </w:div>
    <w:div w:id="1567959390">
      <w:bodyDiv w:val="1"/>
      <w:marLeft w:val="0"/>
      <w:marRight w:val="0"/>
      <w:marTop w:val="0"/>
      <w:marBottom w:val="0"/>
      <w:divBdr>
        <w:top w:val="none" w:sz="0" w:space="0" w:color="auto"/>
        <w:left w:val="none" w:sz="0" w:space="0" w:color="auto"/>
        <w:bottom w:val="none" w:sz="0" w:space="0" w:color="auto"/>
        <w:right w:val="none" w:sz="0" w:space="0" w:color="auto"/>
      </w:divBdr>
    </w:div>
    <w:div w:id="1574386812">
      <w:bodyDiv w:val="1"/>
      <w:marLeft w:val="0"/>
      <w:marRight w:val="0"/>
      <w:marTop w:val="0"/>
      <w:marBottom w:val="0"/>
      <w:divBdr>
        <w:top w:val="none" w:sz="0" w:space="0" w:color="auto"/>
        <w:left w:val="none" w:sz="0" w:space="0" w:color="auto"/>
        <w:bottom w:val="none" w:sz="0" w:space="0" w:color="auto"/>
        <w:right w:val="none" w:sz="0" w:space="0" w:color="auto"/>
      </w:divBdr>
    </w:div>
    <w:div w:id="1581521826">
      <w:bodyDiv w:val="1"/>
      <w:marLeft w:val="0"/>
      <w:marRight w:val="0"/>
      <w:marTop w:val="0"/>
      <w:marBottom w:val="0"/>
      <w:divBdr>
        <w:top w:val="none" w:sz="0" w:space="0" w:color="auto"/>
        <w:left w:val="none" w:sz="0" w:space="0" w:color="auto"/>
        <w:bottom w:val="none" w:sz="0" w:space="0" w:color="auto"/>
        <w:right w:val="none" w:sz="0" w:space="0" w:color="auto"/>
      </w:divBdr>
    </w:div>
    <w:div w:id="1582106503">
      <w:bodyDiv w:val="1"/>
      <w:marLeft w:val="0"/>
      <w:marRight w:val="0"/>
      <w:marTop w:val="0"/>
      <w:marBottom w:val="0"/>
      <w:divBdr>
        <w:top w:val="none" w:sz="0" w:space="0" w:color="auto"/>
        <w:left w:val="none" w:sz="0" w:space="0" w:color="auto"/>
        <w:bottom w:val="none" w:sz="0" w:space="0" w:color="auto"/>
        <w:right w:val="none" w:sz="0" w:space="0" w:color="auto"/>
      </w:divBdr>
    </w:div>
    <w:div w:id="1584021909">
      <w:bodyDiv w:val="1"/>
      <w:marLeft w:val="0"/>
      <w:marRight w:val="0"/>
      <w:marTop w:val="0"/>
      <w:marBottom w:val="0"/>
      <w:divBdr>
        <w:top w:val="none" w:sz="0" w:space="0" w:color="auto"/>
        <w:left w:val="none" w:sz="0" w:space="0" w:color="auto"/>
        <w:bottom w:val="none" w:sz="0" w:space="0" w:color="auto"/>
        <w:right w:val="none" w:sz="0" w:space="0" w:color="auto"/>
      </w:divBdr>
    </w:div>
    <w:div w:id="1593052505">
      <w:bodyDiv w:val="1"/>
      <w:marLeft w:val="0"/>
      <w:marRight w:val="0"/>
      <w:marTop w:val="0"/>
      <w:marBottom w:val="0"/>
      <w:divBdr>
        <w:top w:val="none" w:sz="0" w:space="0" w:color="auto"/>
        <w:left w:val="none" w:sz="0" w:space="0" w:color="auto"/>
        <w:bottom w:val="none" w:sz="0" w:space="0" w:color="auto"/>
        <w:right w:val="none" w:sz="0" w:space="0" w:color="auto"/>
      </w:divBdr>
    </w:div>
    <w:div w:id="1599674819">
      <w:bodyDiv w:val="1"/>
      <w:marLeft w:val="0"/>
      <w:marRight w:val="0"/>
      <w:marTop w:val="0"/>
      <w:marBottom w:val="0"/>
      <w:divBdr>
        <w:top w:val="none" w:sz="0" w:space="0" w:color="auto"/>
        <w:left w:val="none" w:sz="0" w:space="0" w:color="auto"/>
        <w:bottom w:val="none" w:sz="0" w:space="0" w:color="auto"/>
        <w:right w:val="none" w:sz="0" w:space="0" w:color="auto"/>
      </w:divBdr>
    </w:div>
    <w:div w:id="1606305105">
      <w:bodyDiv w:val="1"/>
      <w:marLeft w:val="0"/>
      <w:marRight w:val="0"/>
      <w:marTop w:val="0"/>
      <w:marBottom w:val="0"/>
      <w:divBdr>
        <w:top w:val="none" w:sz="0" w:space="0" w:color="auto"/>
        <w:left w:val="none" w:sz="0" w:space="0" w:color="auto"/>
        <w:bottom w:val="none" w:sz="0" w:space="0" w:color="auto"/>
        <w:right w:val="none" w:sz="0" w:space="0" w:color="auto"/>
      </w:divBdr>
    </w:div>
    <w:div w:id="1618638440">
      <w:bodyDiv w:val="1"/>
      <w:marLeft w:val="0"/>
      <w:marRight w:val="0"/>
      <w:marTop w:val="0"/>
      <w:marBottom w:val="0"/>
      <w:divBdr>
        <w:top w:val="none" w:sz="0" w:space="0" w:color="auto"/>
        <w:left w:val="none" w:sz="0" w:space="0" w:color="auto"/>
        <w:bottom w:val="none" w:sz="0" w:space="0" w:color="auto"/>
        <w:right w:val="none" w:sz="0" w:space="0" w:color="auto"/>
      </w:divBdr>
    </w:div>
    <w:div w:id="1619948576">
      <w:bodyDiv w:val="1"/>
      <w:marLeft w:val="0"/>
      <w:marRight w:val="0"/>
      <w:marTop w:val="0"/>
      <w:marBottom w:val="0"/>
      <w:divBdr>
        <w:top w:val="none" w:sz="0" w:space="0" w:color="auto"/>
        <w:left w:val="none" w:sz="0" w:space="0" w:color="auto"/>
        <w:bottom w:val="none" w:sz="0" w:space="0" w:color="auto"/>
        <w:right w:val="none" w:sz="0" w:space="0" w:color="auto"/>
      </w:divBdr>
    </w:div>
    <w:div w:id="1620378689">
      <w:bodyDiv w:val="1"/>
      <w:marLeft w:val="0"/>
      <w:marRight w:val="0"/>
      <w:marTop w:val="0"/>
      <w:marBottom w:val="0"/>
      <w:divBdr>
        <w:top w:val="none" w:sz="0" w:space="0" w:color="auto"/>
        <w:left w:val="none" w:sz="0" w:space="0" w:color="auto"/>
        <w:bottom w:val="none" w:sz="0" w:space="0" w:color="auto"/>
        <w:right w:val="none" w:sz="0" w:space="0" w:color="auto"/>
      </w:divBdr>
    </w:div>
    <w:div w:id="1620455693">
      <w:bodyDiv w:val="1"/>
      <w:marLeft w:val="0"/>
      <w:marRight w:val="0"/>
      <w:marTop w:val="0"/>
      <w:marBottom w:val="0"/>
      <w:divBdr>
        <w:top w:val="none" w:sz="0" w:space="0" w:color="auto"/>
        <w:left w:val="none" w:sz="0" w:space="0" w:color="auto"/>
        <w:bottom w:val="none" w:sz="0" w:space="0" w:color="auto"/>
        <w:right w:val="none" w:sz="0" w:space="0" w:color="auto"/>
      </w:divBdr>
      <w:divsChild>
        <w:div w:id="289477052">
          <w:marLeft w:val="780"/>
          <w:marRight w:val="240"/>
          <w:marTop w:val="180"/>
          <w:marBottom w:val="0"/>
          <w:divBdr>
            <w:top w:val="none" w:sz="0" w:space="0" w:color="auto"/>
            <w:left w:val="none" w:sz="0" w:space="0" w:color="auto"/>
            <w:bottom w:val="none" w:sz="0" w:space="0" w:color="auto"/>
            <w:right w:val="none" w:sz="0" w:space="0" w:color="auto"/>
          </w:divBdr>
          <w:divsChild>
            <w:div w:id="1275939348">
              <w:marLeft w:val="0"/>
              <w:marRight w:val="0"/>
              <w:marTop w:val="0"/>
              <w:marBottom w:val="0"/>
              <w:divBdr>
                <w:top w:val="none" w:sz="0" w:space="0" w:color="auto"/>
                <w:left w:val="none" w:sz="0" w:space="0" w:color="auto"/>
                <w:bottom w:val="none" w:sz="0" w:space="0" w:color="auto"/>
                <w:right w:val="none" w:sz="0" w:space="0" w:color="auto"/>
              </w:divBdr>
              <w:divsChild>
                <w:div w:id="2129541843">
                  <w:marLeft w:val="0"/>
                  <w:marRight w:val="0"/>
                  <w:marTop w:val="0"/>
                  <w:marBottom w:val="0"/>
                  <w:divBdr>
                    <w:top w:val="none" w:sz="0" w:space="0" w:color="auto"/>
                    <w:left w:val="none" w:sz="0" w:space="0" w:color="auto"/>
                    <w:bottom w:val="none" w:sz="0" w:space="0" w:color="auto"/>
                    <w:right w:val="none" w:sz="0" w:space="0" w:color="auto"/>
                  </w:divBdr>
                  <w:divsChild>
                    <w:div w:id="497768781">
                      <w:marLeft w:val="0"/>
                      <w:marRight w:val="0"/>
                      <w:marTop w:val="0"/>
                      <w:marBottom w:val="0"/>
                      <w:divBdr>
                        <w:top w:val="none" w:sz="0" w:space="0" w:color="auto"/>
                        <w:left w:val="none" w:sz="0" w:space="0" w:color="auto"/>
                        <w:bottom w:val="none" w:sz="0" w:space="0" w:color="auto"/>
                        <w:right w:val="none" w:sz="0" w:space="0" w:color="auto"/>
                      </w:divBdr>
                      <w:divsChild>
                        <w:div w:id="65107805">
                          <w:marLeft w:val="0"/>
                          <w:marRight w:val="0"/>
                          <w:marTop w:val="0"/>
                          <w:marBottom w:val="0"/>
                          <w:divBdr>
                            <w:top w:val="none" w:sz="0" w:space="0" w:color="auto"/>
                            <w:left w:val="none" w:sz="0" w:space="0" w:color="auto"/>
                            <w:bottom w:val="none" w:sz="0" w:space="0" w:color="auto"/>
                            <w:right w:val="none" w:sz="0" w:space="0" w:color="auto"/>
                          </w:divBdr>
                        </w:div>
                        <w:div w:id="144132585">
                          <w:marLeft w:val="0"/>
                          <w:marRight w:val="0"/>
                          <w:marTop w:val="0"/>
                          <w:marBottom w:val="0"/>
                          <w:divBdr>
                            <w:top w:val="none" w:sz="0" w:space="0" w:color="auto"/>
                            <w:left w:val="none" w:sz="0" w:space="0" w:color="auto"/>
                            <w:bottom w:val="none" w:sz="0" w:space="0" w:color="auto"/>
                            <w:right w:val="none" w:sz="0" w:space="0" w:color="auto"/>
                          </w:divBdr>
                        </w:div>
                        <w:div w:id="376247818">
                          <w:marLeft w:val="0"/>
                          <w:marRight w:val="0"/>
                          <w:marTop w:val="0"/>
                          <w:marBottom w:val="0"/>
                          <w:divBdr>
                            <w:top w:val="none" w:sz="0" w:space="0" w:color="auto"/>
                            <w:left w:val="none" w:sz="0" w:space="0" w:color="auto"/>
                            <w:bottom w:val="none" w:sz="0" w:space="0" w:color="auto"/>
                            <w:right w:val="none" w:sz="0" w:space="0" w:color="auto"/>
                          </w:divBdr>
                        </w:div>
                        <w:div w:id="460265757">
                          <w:marLeft w:val="0"/>
                          <w:marRight w:val="0"/>
                          <w:marTop w:val="0"/>
                          <w:marBottom w:val="0"/>
                          <w:divBdr>
                            <w:top w:val="none" w:sz="0" w:space="0" w:color="auto"/>
                            <w:left w:val="none" w:sz="0" w:space="0" w:color="auto"/>
                            <w:bottom w:val="none" w:sz="0" w:space="0" w:color="auto"/>
                            <w:right w:val="none" w:sz="0" w:space="0" w:color="auto"/>
                          </w:divBdr>
                        </w:div>
                        <w:div w:id="541867141">
                          <w:marLeft w:val="0"/>
                          <w:marRight w:val="0"/>
                          <w:marTop w:val="0"/>
                          <w:marBottom w:val="0"/>
                          <w:divBdr>
                            <w:top w:val="none" w:sz="0" w:space="0" w:color="auto"/>
                            <w:left w:val="none" w:sz="0" w:space="0" w:color="auto"/>
                            <w:bottom w:val="none" w:sz="0" w:space="0" w:color="auto"/>
                            <w:right w:val="none" w:sz="0" w:space="0" w:color="auto"/>
                          </w:divBdr>
                        </w:div>
                        <w:div w:id="735512510">
                          <w:marLeft w:val="0"/>
                          <w:marRight w:val="0"/>
                          <w:marTop w:val="0"/>
                          <w:marBottom w:val="0"/>
                          <w:divBdr>
                            <w:top w:val="none" w:sz="0" w:space="0" w:color="auto"/>
                            <w:left w:val="none" w:sz="0" w:space="0" w:color="auto"/>
                            <w:bottom w:val="none" w:sz="0" w:space="0" w:color="auto"/>
                            <w:right w:val="none" w:sz="0" w:space="0" w:color="auto"/>
                          </w:divBdr>
                        </w:div>
                        <w:div w:id="1419718141">
                          <w:marLeft w:val="0"/>
                          <w:marRight w:val="0"/>
                          <w:marTop w:val="0"/>
                          <w:marBottom w:val="0"/>
                          <w:divBdr>
                            <w:top w:val="none" w:sz="0" w:space="0" w:color="auto"/>
                            <w:left w:val="none" w:sz="0" w:space="0" w:color="auto"/>
                            <w:bottom w:val="none" w:sz="0" w:space="0" w:color="auto"/>
                            <w:right w:val="none" w:sz="0" w:space="0" w:color="auto"/>
                          </w:divBdr>
                        </w:div>
                        <w:div w:id="1462184702">
                          <w:marLeft w:val="0"/>
                          <w:marRight w:val="0"/>
                          <w:marTop w:val="0"/>
                          <w:marBottom w:val="0"/>
                          <w:divBdr>
                            <w:top w:val="none" w:sz="0" w:space="0" w:color="auto"/>
                            <w:left w:val="none" w:sz="0" w:space="0" w:color="auto"/>
                            <w:bottom w:val="none" w:sz="0" w:space="0" w:color="auto"/>
                            <w:right w:val="none" w:sz="0" w:space="0" w:color="auto"/>
                          </w:divBdr>
                        </w:div>
                        <w:div w:id="1486362637">
                          <w:marLeft w:val="0"/>
                          <w:marRight w:val="0"/>
                          <w:marTop w:val="0"/>
                          <w:marBottom w:val="0"/>
                          <w:divBdr>
                            <w:top w:val="none" w:sz="0" w:space="0" w:color="auto"/>
                            <w:left w:val="none" w:sz="0" w:space="0" w:color="auto"/>
                            <w:bottom w:val="none" w:sz="0" w:space="0" w:color="auto"/>
                            <w:right w:val="none" w:sz="0" w:space="0" w:color="auto"/>
                          </w:divBdr>
                        </w:div>
                        <w:div w:id="1586185027">
                          <w:marLeft w:val="0"/>
                          <w:marRight w:val="0"/>
                          <w:marTop w:val="0"/>
                          <w:marBottom w:val="0"/>
                          <w:divBdr>
                            <w:top w:val="none" w:sz="0" w:space="0" w:color="auto"/>
                            <w:left w:val="none" w:sz="0" w:space="0" w:color="auto"/>
                            <w:bottom w:val="none" w:sz="0" w:space="0" w:color="auto"/>
                            <w:right w:val="none" w:sz="0" w:space="0" w:color="auto"/>
                          </w:divBdr>
                        </w:div>
                        <w:div w:id="1750035301">
                          <w:marLeft w:val="0"/>
                          <w:marRight w:val="0"/>
                          <w:marTop w:val="0"/>
                          <w:marBottom w:val="0"/>
                          <w:divBdr>
                            <w:top w:val="none" w:sz="0" w:space="0" w:color="auto"/>
                            <w:left w:val="none" w:sz="0" w:space="0" w:color="auto"/>
                            <w:bottom w:val="none" w:sz="0" w:space="0" w:color="auto"/>
                            <w:right w:val="none" w:sz="0" w:space="0" w:color="auto"/>
                          </w:divBdr>
                        </w:div>
                        <w:div w:id="2043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72187">
          <w:marLeft w:val="720"/>
          <w:marRight w:val="0"/>
          <w:marTop w:val="0"/>
          <w:marBottom w:val="0"/>
          <w:divBdr>
            <w:top w:val="none" w:sz="0" w:space="0" w:color="auto"/>
            <w:left w:val="none" w:sz="0" w:space="0" w:color="auto"/>
            <w:bottom w:val="none" w:sz="0" w:space="0" w:color="auto"/>
            <w:right w:val="none" w:sz="0" w:space="0" w:color="auto"/>
          </w:divBdr>
          <w:divsChild>
            <w:div w:id="1305549668">
              <w:marLeft w:val="0"/>
              <w:marRight w:val="0"/>
              <w:marTop w:val="0"/>
              <w:marBottom w:val="0"/>
              <w:divBdr>
                <w:top w:val="none" w:sz="0" w:space="0" w:color="auto"/>
                <w:left w:val="none" w:sz="0" w:space="0" w:color="auto"/>
                <w:bottom w:val="none" w:sz="0" w:space="0" w:color="auto"/>
                <w:right w:val="none" w:sz="0" w:space="0" w:color="auto"/>
              </w:divBdr>
              <w:divsChild>
                <w:div w:id="401023898">
                  <w:marLeft w:val="0"/>
                  <w:marRight w:val="0"/>
                  <w:marTop w:val="0"/>
                  <w:marBottom w:val="0"/>
                  <w:divBdr>
                    <w:top w:val="none" w:sz="0" w:space="0" w:color="auto"/>
                    <w:left w:val="none" w:sz="0" w:space="0" w:color="auto"/>
                    <w:bottom w:val="none" w:sz="0" w:space="0" w:color="auto"/>
                    <w:right w:val="none" w:sz="0" w:space="0" w:color="auto"/>
                  </w:divBdr>
                  <w:divsChild>
                    <w:div w:id="362176246">
                      <w:marLeft w:val="0"/>
                      <w:marRight w:val="0"/>
                      <w:marTop w:val="0"/>
                      <w:marBottom w:val="0"/>
                      <w:divBdr>
                        <w:top w:val="none" w:sz="0" w:space="0" w:color="auto"/>
                        <w:left w:val="none" w:sz="0" w:space="0" w:color="auto"/>
                        <w:bottom w:val="none" w:sz="0" w:space="0" w:color="auto"/>
                        <w:right w:val="none" w:sz="0" w:space="0" w:color="auto"/>
                      </w:divBdr>
                      <w:divsChild>
                        <w:div w:id="113596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126388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622880017">
      <w:bodyDiv w:val="1"/>
      <w:marLeft w:val="0"/>
      <w:marRight w:val="0"/>
      <w:marTop w:val="0"/>
      <w:marBottom w:val="0"/>
      <w:divBdr>
        <w:top w:val="none" w:sz="0" w:space="0" w:color="auto"/>
        <w:left w:val="none" w:sz="0" w:space="0" w:color="auto"/>
        <w:bottom w:val="none" w:sz="0" w:space="0" w:color="auto"/>
        <w:right w:val="none" w:sz="0" w:space="0" w:color="auto"/>
      </w:divBdr>
    </w:div>
    <w:div w:id="1623612450">
      <w:bodyDiv w:val="1"/>
      <w:marLeft w:val="0"/>
      <w:marRight w:val="0"/>
      <w:marTop w:val="0"/>
      <w:marBottom w:val="0"/>
      <w:divBdr>
        <w:top w:val="none" w:sz="0" w:space="0" w:color="auto"/>
        <w:left w:val="none" w:sz="0" w:space="0" w:color="auto"/>
        <w:bottom w:val="none" w:sz="0" w:space="0" w:color="auto"/>
        <w:right w:val="none" w:sz="0" w:space="0" w:color="auto"/>
      </w:divBdr>
    </w:div>
    <w:div w:id="1641106840">
      <w:bodyDiv w:val="1"/>
      <w:marLeft w:val="0"/>
      <w:marRight w:val="0"/>
      <w:marTop w:val="0"/>
      <w:marBottom w:val="0"/>
      <w:divBdr>
        <w:top w:val="none" w:sz="0" w:space="0" w:color="auto"/>
        <w:left w:val="none" w:sz="0" w:space="0" w:color="auto"/>
        <w:bottom w:val="none" w:sz="0" w:space="0" w:color="auto"/>
        <w:right w:val="none" w:sz="0" w:space="0" w:color="auto"/>
      </w:divBdr>
      <w:divsChild>
        <w:div w:id="135532237">
          <w:marLeft w:val="0"/>
          <w:marRight w:val="0"/>
          <w:marTop w:val="0"/>
          <w:marBottom w:val="0"/>
          <w:divBdr>
            <w:top w:val="none" w:sz="0" w:space="0" w:color="auto"/>
            <w:left w:val="none" w:sz="0" w:space="0" w:color="auto"/>
            <w:bottom w:val="none" w:sz="0" w:space="0" w:color="auto"/>
            <w:right w:val="none" w:sz="0" w:space="0" w:color="auto"/>
          </w:divBdr>
        </w:div>
      </w:divsChild>
    </w:div>
    <w:div w:id="1650016965">
      <w:bodyDiv w:val="1"/>
      <w:marLeft w:val="0"/>
      <w:marRight w:val="0"/>
      <w:marTop w:val="0"/>
      <w:marBottom w:val="0"/>
      <w:divBdr>
        <w:top w:val="none" w:sz="0" w:space="0" w:color="auto"/>
        <w:left w:val="none" w:sz="0" w:space="0" w:color="auto"/>
        <w:bottom w:val="none" w:sz="0" w:space="0" w:color="auto"/>
        <w:right w:val="none" w:sz="0" w:space="0" w:color="auto"/>
      </w:divBdr>
      <w:divsChild>
        <w:div w:id="2012101282">
          <w:marLeft w:val="0"/>
          <w:marRight w:val="0"/>
          <w:marTop w:val="0"/>
          <w:marBottom w:val="0"/>
          <w:divBdr>
            <w:top w:val="none" w:sz="0" w:space="0" w:color="auto"/>
            <w:left w:val="none" w:sz="0" w:space="0" w:color="auto"/>
            <w:bottom w:val="none" w:sz="0" w:space="0" w:color="auto"/>
            <w:right w:val="none" w:sz="0" w:space="0" w:color="auto"/>
          </w:divBdr>
        </w:div>
      </w:divsChild>
    </w:div>
    <w:div w:id="1660116970">
      <w:bodyDiv w:val="1"/>
      <w:marLeft w:val="0"/>
      <w:marRight w:val="0"/>
      <w:marTop w:val="0"/>
      <w:marBottom w:val="0"/>
      <w:divBdr>
        <w:top w:val="none" w:sz="0" w:space="0" w:color="auto"/>
        <w:left w:val="none" w:sz="0" w:space="0" w:color="auto"/>
        <w:bottom w:val="none" w:sz="0" w:space="0" w:color="auto"/>
        <w:right w:val="none" w:sz="0" w:space="0" w:color="auto"/>
      </w:divBdr>
    </w:div>
    <w:div w:id="1663464207">
      <w:bodyDiv w:val="1"/>
      <w:marLeft w:val="0"/>
      <w:marRight w:val="0"/>
      <w:marTop w:val="0"/>
      <w:marBottom w:val="0"/>
      <w:divBdr>
        <w:top w:val="none" w:sz="0" w:space="0" w:color="auto"/>
        <w:left w:val="none" w:sz="0" w:space="0" w:color="auto"/>
        <w:bottom w:val="none" w:sz="0" w:space="0" w:color="auto"/>
        <w:right w:val="none" w:sz="0" w:space="0" w:color="auto"/>
      </w:divBdr>
    </w:div>
    <w:div w:id="1672903991">
      <w:bodyDiv w:val="1"/>
      <w:marLeft w:val="0"/>
      <w:marRight w:val="0"/>
      <w:marTop w:val="0"/>
      <w:marBottom w:val="0"/>
      <w:divBdr>
        <w:top w:val="none" w:sz="0" w:space="0" w:color="auto"/>
        <w:left w:val="none" w:sz="0" w:space="0" w:color="auto"/>
        <w:bottom w:val="none" w:sz="0" w:space="0" w:color="auto"/>
        <w:right w:val="none" w:sz="0" w:space="0" w:color="auto"/>
      </w:divBdr>
    </w:div>
    <w:div w:id="1685748431">
      <w:bodyDiv w:val="1"/>
      <w:marLeft w:val="0"/>
      <w:marRight w:val="0"/>
      <w:marTop w:val="0"/>
      <w:marBottom w:val="0"/>
      <w:divBdr>
        <w:top w:val="none" w:sz="0" w:space="0" w:color="auto"/>
        <w:left w:val="none" w:sz="0" w:space="0" w:color="auto"/>
        <w:bottom w:val="none" w:sz="0" w:space="0" w:color="auto"/>
        <w:right w:val="none" w:sz="0" w:space="0" w:color="auto"/>
      </w:divBdr>
    </w:div>
    <w:div w:id="1690133464">
      <w:bodyDiv w:val="1"/>
      <w:marLeft w:val="0"/>
      <w:marRight w:val="0"/>
      <w:marTop w:val="0"/>
      <w:marBottom w:val="0"/>
      <w:divBdr>
        <w:top w:val="none" w:sz="0" w:space="0" w:color="auto"/>
        <w:left w:val="none" w:sz="0" w:space="0" w:color="auto"/>
        <w:bottom w:val="none" w:sz="0" w:space="0" w:color="auto"/>
        <w:right w:val="none" w:sz="0" w:space="0" w:color="auto"/>
      </w:divBdr>
    </w:div>
    <w:div w:id="1693650292">
      <w:bodyDiv w:val="1"/>
      <w:marLeft w:val="0"/>
      <w:marRight w:val="0"/>
      <w:marTop w:val="0"/>
      <w:marBottom w:val="0"/>
      <w:divBdr>
        <w:top w:val="none" w:sz="0" w:space="0" w:color="auto"/>
        <w:left w:val="none" w:sz="0" w:space="0" w:color="auto"/>
        <w:bottom w:val="none" w:sz="0" w:space="0" w:color="auto"/>
        <w:right w:val="none" w:sz="0" w:space="0" w:color="auto"/>
      </w:divBdr>
    </w:div>
    <w:div w:id="1698658574">
      <w:bodyDiv w:val="1"/>
      <w:marLeft w:val="0"/>
      <w:marRight w:val="0"/>
      <w:marTop w:val="0"/>
      <w:marBottom w:val="0"/>
      <w:divBdr>
        <w:top w:val="none" w:sz="0" w:space="0" w:color="auto"/>
        <w:left w:val="none" w:sz="0" w:space="0" w:color="auto"/>
        <w:bottom w:val="none" w:sz="0" w:space="0" w:color="auto"/>
        <w:right w:val="none" w:sz="0" w:space="0" w:color="auto"/>
      </w:divBdr>
    </w:div>
    <w:div w:id="1713308093">
      <w:bodyDiv w:val="1"/>
      <w:marLeft w:val="0"/>
      <w:marRight w:val="0"/>
      <w:marTop w:val="0"/>
      <w:marBottom w:val="0"/>
      <w:divBdr>
        <w:top w:val="none" w:sz="0" w:space="0" w:color="auto"/>
        <w:left w:val="none" w:sz="0" w:space="0" w:color="auto"/>
        <w:bottom w:val="none" w:sz="0" w:space="0" w:color="auto"/>
        <w:right w:val="none" w:sz="0" w:space="0" w:color="auto"/>
      </w:divBdr>
    </w:div>
    <w:div w:id="1732315281">
      <w:bodyDiv w:val="1"/>
      <w:marLeft w:val="0"/>
      <w:marRight w:val="0"/>
      <w:marTop w:val="0"/>
      <w:marBottom w:val="0"/>
      <w:divBdr>
        <w:top w:val="none" w:sz="0" w:space="0" w:color="auto"/>
        <w:left w:val="none" w:sz="0" w:space="0" w:color="auto"/>
        <w:bottom w:val="none" w:sz="0" w:space="0" w:color="auto"/>
        <w:right w:val="none" w:sz="0" w:space="0" w:color="auto"/>
      </w:divBdr>
    </w:div>
    <w:div w:id="1739473329">
      <w:bodyDiv w:val="1"/>
      <w:marLeft w:val="0"/>
      <w:marRight w:val="0"/>
      <w:marTop w:val="0"/>
      <w:marBottom w:val="0"/>
      <w:divBdr>
        <w:top w:val="none" w:sz="0" w:space="0" w:color="auto"/>
        <w:left w:val="none" w:sz="0" w:space="0" w:color="auto"/>
        <w:bottom w:val="none" w:sz="0" w:space="0" w:color="auto"/>
        <w:right w:val="none" w:sz="0" w:space="0" w:color="auto"/>
      </w:divBdr>
    </w:div>
    <w:div w:id="1743406702">
      <w:bodyDiv w:val="1"/>
      <w:marLeft w:val="0"/>
      <w:marRight w:val="0"/>
      <w:marTop w:val="0"/>
      <w:marBottom w:val="0"/>
      <w:divBdr>
        <w:top w:val="none" w:sz="0" w:space="0" w:color="auto"/>
        <w:left w:val="none" w:sz="0" w:space="0" w:color="auto"/>
        <w:bottom w:val="none" w:sz="0" w:space="0" w:color="auto"/>
        <w:right w:val="none" w:sz="0" w:space="0" w:color="auto"/>
      </w:divBdr>
    </w:div>
    <w:div w:id="1746487083">
      <w:bodyDiv w:val="1"/>
      <w:marLeft w:val="0"/>
      <w:marRight w:val="0"/>
      <w:marTop w:val="0"/>
      <w:marBottom w:val="0"/>
      <w:divBdr>
        <w:top w:val="none" w:sz="0" w:space="0" w:color="auto"/>
        <w:left w:val="none" w:sz="0" w:space="0" w:color="auto"/>
        <w:bottom w:val="none" w:sz="0" w:space="0" w:color="auto"/>
        <w:right w:val="none" w:sz="0" w:space="0" w:color="auto"/>
      </w:divBdr>
    </w:div>
    <w:div w:id="1747804235">
      <w:bodyDiv w:val="1"/>
      <w:marLeft w:val="0"/>
      <w:marRight w:val="0"/>
      <w:marTop w:val="0"/>
      <w:marBottom w:val="0"/>
      <w:divBdr>
        <w:top w:val="none" w:sz="0" w:space="0" w:color="auto"/>
        <w:left w:val="none" w:sz="0" w:space="0" w:color="auto"/>
        <w:bottom w:val="none" w:sz="0" w:space="0" w:color="auto"/>
        <w:right w:val="none" w:sz="0" w:space="0" w:color="auto"/>
      </w:divBdr>
    </w:div>
    <w:div w:id="1750882969">
      <w:bodyDiv w:val="1"/>
      <w:marLeft w:val="0"/>
      <w:marRight w:val="0"/>
      <w:marTop w:val="0"/>
      <w:marBottom w:val="0"/>
      <w:divBdr>
        <w:top w:val="none" w:sz="0" w:space="0" w:color="auto"/>
        <w:left w:val="none" w:sz="0" w:space="0" w:color="auto"/>
        <w:bottom w:val="none" w:sz="0" w:space="0" w:color="auto"/>
        <w:right w:val="none" w:sz="0" w:space="0" w:color="auto"/>
      </w:divBdr>
    </w:div>
    <w:div w:id="1755129247">
      <w:bodyDiv w:val="1"/>
      <w:marLeft w:val="0"/>
      <w:marRight w:val="0"/>
      <w:marTop w:val="0"/>
      <w:marBottom w:val="0"/>
      <w:divBdr>
        <w:top w:val="none" w:sz="0" w:space="0" w:color="auto"/>
        <w:left w:val="none" w:sz="0" w:space="0" w:color="auto"/>
        <w:bottom w:val="none" w:sz="0" w:space="0" w:color="auto"/>
        <w:right w:val="none" w:sz="0" w:space="0" w:color="auto"/>
      </w:divBdr>
    </w:div>
    <w:div w:id="1756975161">
      <w:bodyDiv w:val="1"/>
      <w:marLeft w:val="0"/>
      <w:marRight w:val="0"/>
      <w:marTop w:val="0"/>
      <w:marBottom w:val="0"/>
      <w:divBdr>
        <w:top w:val="none" w:sz="0" w:space="0" w:color="auto"/>
        <w:left w:val="none" w:sz="0" w:space="0" w:color="auto"/>
        <w:bottom w:val="none" w:sz="0" w:space="0" w:color="auto"/>
        <w:right w:val="none" w:sz="0" w:space="0" w:color="auto"/>
      </w:divBdr>
      <w:divsChild>
        <w:div w:id="955864743">
          <w:marLeft w:val="0"/>
          <w:marRight w:val="0"/>
          <w:marTop w:val="0"/>
          <w:marBottom w:val="0"/>
          <w:divBdr>
            <w:top w:val="none" w:sz="0" w:space="0" w:color="auto"/>
            <w:left w:val="none" w:sz="0" w:space="0" w:color="auto"/>
            <w:bottom w:val="none" w:sz="0" w:space="0" w:color="auto"/>
            <w:right w:val="none" w:sz="0" w:space="0" w:color="auto"/>
          </w:divBdr>
        </w:div>
      </w:divsChild>
    </w:div>
    <w:div w:id="1763531537">
      <w:bodyDiv w:val="1"/>
      <w:marLeft w:val="0"/>
      <w:marRight w:val="0"/>
      <w:marTop w:val="0"/>
      <w:marBottom w:val="0"/>
      <w:divBdr>
        <w:top w:val="none" w:sz="0" w:space="0" w:color="auto"/>
        <w:left w:val="none" w:sz="0" w:space="0" w:color="auto"/>
        <w:bottom w:val="none" w:sz="0" w:space="0" w:color="auto"/>
        <w:right w:val="none" w:sz="0" w:space="0" w:color="auto"/>
      </w:divBdr>
    </w:div>
    <w:div w:id="1764036402">
      <w:bodyDiv w:val="1"/>
      <w:marLeft w:val="0"/>
      <w:marRight w:val="0"/>
      <w:marTop w:val="0"/>
      <w:marBottom w:val="0"/>
      <w:divBdr>
        <w:top w:val="none" w:sz="0" w:space="0" w:color="auto"/>
        <w:left w:val="none" w:sz="0" w:space="0" w:color="auto"/>
        <w:bottom w:val="none" w:sz="0" w:space="0" w:color="auto"/>
        <w:right w:val="none" w:sz="0" w:space="0" w:color="auto"/>
      </w:divBdr>
    </w:div>
    <w:div w:id="1765346362">
      <w:bodyDiv w:val="1"/>
      <w:marLeft w:val="0"/>
      <w:marRight w:val="0"/>
      <w:marTop w:val="0"/>
      <w:marBottom w:val="0"/>
      <w:divBdr>
        <w:top w:val="none" w:sz="0" w:space="0" w:color="auto"/>
        <w:left w:val="none" w:sz="0" w:space="0" w:color="auto"/>
        <w:bottom w:val="none" w:sz="0" w:space="0" w:color="auto"/>
        <w:right w:val="none" w:sz="0" w:space="0" w:color="auto"/>
      </w:divBdr>
    </w:div>
    <w:div w:id="1775247571">
      <w:bodyDiv w:val="1"/>
      <w:marLeft w:val="0"/>
      <w:marRight w:val="0"/>
      <w:marTop w:val="0"/>
      <w:marBottom w:val="0"/>
      <w:divBdr>
        <w:top w:val="none" w:sz="0" w:space="0" w:color="auto"/>
        <w:left w:val="none" w:sz="0" w:space="0" w:color="auto"/>
        <w:bottom w:val="none" w:sz="0" w:space="0" w:color="auto"/>
        <w:right w:val="none" w:sz="0" w:space="0" w:color="auto"/>
      </w:divBdr>
    </w:div>
    <w:div w:id="1784693892">
      <w:bodyDiv w:val="1"/>
      <w:marLeft w:val="0"/>
      <w:marRight w:val="0"/>
      <w:marTop w:val="0"/>
      <w:marBottom w:val="0"/>
      <w:divBdr>
        <w:top w:val="none" w:sz="0" w:space="0" w:color="auto"/>
        <w:left w:val="none" w:sz="0" w:space="0" w:color="auto"/>
        <w:bottom w:val="none" w:sz="0" w:space="0" w:color="auto"/>
        <w:right w:val="none" w:sz="0" w:space="0" w:color="auto"/>
      </w:divBdr>
    </w:div>
    <w:div w:id="1785608626">
      <w:bodyDiv w:val="1"/>
      <w:marLeft w:val="0"/>
      <w:marRight w:val="0"/>
      <w:marTop w:val="0"/>
      <w:marBottom w:val="0"/>
      <w:divBdr>
        <w:top w:val="none" w:sz="0" w:space="0" w:color="auto"/>
        <w:left w:val="none" w:sz="0" w:space="0" w:color="auto"/>
        <w:bottom w:val="none" w:sz="0" w:space="0" w:color="auto"/>
        <w:right w:val="none" w:sz="0" w:space="0" w:color="auto"/>
      </w:divBdr>
    </w:div>
    <w:div w:id="1796022170">
      <w:bodyDiv w:val="1"/>
      <w:marLeft w:val="0"/>
      <w:marRight w:val="0"/>
      <w:marTop w:val="0"/>
      <w:marBottom w:val="0"/>
      <w:divBdr>
        <w:top w:val="none" w:sz="0" w:space="0" w:color="auto"/>
        <w:left w:val="none" w:sz="0" w:space="0" w:color="auto"/>
        <w:bottom w:val="none" w:sz="0" w:space="0" w:color="auto"/>
        <w:right w:val="none" w:sz="0" w:space="0" w:color="auto"/>
      </w:divBdr>
    </w:div>
    <w:div w:id="1803108982">
      <w:bodyDiv w:val="1"/>
      <w:marLeft w:val="0"/>
      <w:marRight w:val="0"/>
      <w:marTop w:val="0"/>
      <w:marBottom w:val="0"/>
      <w:divBdr>
        <w:top w:val="none" w:sz="0" w:space="0" w:color="auto"/>
        <w:left w:val="none" w:sz="0" w:space="0" w:color="auto"/>
        <w:bottom w:val="none" w:sz="0" w:space="0" w:color="auto"/>
        <w:right w:val="none" w:sz="0" w:space="0" w:color="auto"/>
      </w:divBdr>
    </w:div>
    <w:div w:id="1806923972">
      <w:bodyDiv w:val="1"/>
      <w:marLeft w:val="0"/>
      <w:marRight w:val="0"/>
      <w:marTop w:val="0"/>
      <w:marBottom w:val="0"/>
      <w:divBdr>
        <w:top w:val="none" w:sz="0" w:space="0" w:color="auto"/>
        <w:left w:val="none" w:sz="0" w:space="0" w:color="auto"/>
        <w:bottom w:val="none" w:sz="0" w:space="0" w:color="auto"/>
        <w:right w:val="none" w:sz="0" w:space="0" w:color="auto"/>
      </w:divBdr>
    </w:div>
    <w:div w:id="1809590342">
      <w:bodyDiv w:val="1"/>
      <w:marLeft w:val="0"/>
      <w:marRight w:val="0"/>
      <w:marTop w:val="0"/>
      <w:marBottom w:val="0"/>
      <w:divBdr>
        <w:top w:val="none" w:sz="0" w:space="0" w:color="auto"/>
        <w:left w:val="none" w:sz="0" w:space="0" w:color="auto"/>
        <w:bottom w:val="none" w:sz="0" w:space="0" w:color="auto"/>
        <w:right w:val="none" w:sz="0" w:space="0" w:color="auto"/>
      </w:divBdr>
    </w:div>
    <w:div w:id="1813012008">
      <w:bodyDiv w:val="1"/>
      <w:marLeft w:val="0"/>
      <w:marRight w:val="0"/>
      <w:marTop w:val="0"/>
      <w:marBottom w:val="0"/>
      <w:divBdr>
        <w:top w:val="none" w:sz="0" w:space="0" w:color="auto"/>
        <w:left w:val="none" w:sz="0" w:space="0" w:color="auto"/>
        <w:bottom w:val="none" w:sz="0" w:space="0" w:color="auto"/>
        <w:right w:val="none" w:sz="0" w:space="0" w:color="auto"/>
      </w:divBdr>
    </w:div>
    <w:div w:id="1818959193">
      <w:bodyDiv w:val="1"/>
      <w:marLeft w:val="0"/>
      <w:marRight w:val="0"/>
      <w:marTop w:val="0"/>
      <w:marBottom w:val="0"/>
      <w:divBdr>
        <w:top w:val="none" w:sz="0" w:space="0" w:color="auto"/>
        <w:left w:val="none" w:sz="0" w:space="0" w:color="auto"/>
        <w:bottom w:val="none" w:sz="0" w:space="0" w:color="auto"/>
        <w:right w:val="none" w:sz="0" w:space="0" w:color="auto"/>
      </w:divBdr>
    </w:div>
    <w:div w:id="1821993886">
      <w:bodyDiv w:val="1"/>
      <w:marLeft w:val="0"/>
      <w:marRight w:val="0"/>
      <w:marTop w:val="0"/>
      <w:marBottom w:val="0"/>
      <w:divBdr>
        <w:top w:val="none" w:sz="0" w:space="0" w:color="auto"/>
        <w:left w:val="none" w:sz="0" w:space="0" w:color="auto"/>
        <w:bottom w:val="none" w:sz="0" w:space="0" w:color="auto"/>
        <w:right w:val="none" w:sz="0" w:space="0" w:color="auto"/>
      </w:divBdr>
    </w:div>
    <w:div w:id="1826704740">
      <w:bodyDiv w:val="1"/>
      <w:marLeft w:val="0"/>
      <w:marRight w:val="0"/>
      <w:marTop w:val="0"/>
      <w:marBottom w:val="0"/>
      <w:divBdr>
        <w:top w:val="none" w:sz="0" w:space="0" w:color="auto"/>
        <w:left w:val="none" w:sz="0" w:space="0" w:color="auto"/>
        <w:bottom w:val="none" w:sz="0" w:space="0" w:color="auto"/>
        <w:right w:val="none" w:sz="0" w:space="0" w:color="auto"/>
      </w:divBdr>
      <w:divsChild>
        <w:div w:id="1261059322">
          <w:marLeft w:val="0"/>
          <w:marRight w:val="0"/>
          <w:marTop w:val="0"/>
          <w:marBottom w:val="0"/>
          <w:divBdr>
            <w:top w:val="none" w:sz="0" w:space="0" w:color="auto"/>
            <w:left w:val="none" w:sz="0" w:space="0" w:color="auto"/>
            <w:bottom w:val="none" w:sz="0" w:space="0" w:color="auto"/>
            <w:right w:val="none" w:sz="0" w:space="0" w:color="auto"/>
          </w:divBdr>
          <w:divsChild>
            <w:div w:id="17850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1436">
      <w:bodyDiv w:val="1"/>
      <w:marLeft w:val="0"/>
      <w:marRight w:val="0"/>
      <w:marTop w:val="0"/>
      <w:marBottom w:val="0"/>
      <w:divBdr>
        <w:top w:val="none" w:sz="0" w:space="0" w:color="auto"/>
        <w:left w:val="none" w:sz="0" w:space="0" w:color="auto"/>
        <w:bottom w:val="none" w:sz="0" w:space="0" w:color="auto"/>
        <w:right w:val="none" w:sz="0" w:space="0" w:color="auto"/>
      </w:divBdr>
    </w:div>
    <w:div w:id="1836870863">
      <w:bodyDiv w:val="1"/>
      <w:marLeft w:val="0"/>
      <w:marRight w:val="0"/>
      <w:marTop w:val="0"/>
      <w:marBottom w:val="0"/>
      <w:divBdr>
        <w:top w:val="none" w:sz="0" w:space="0" w:color="auto"/>
        <w:left w:val="none" w:sz="0" w:space="0" w:color="auto"/>
        <w:bottom w:val="none" w:sz="0" w:space="0" w:color="auto"/>
        <w:right w:val="none" w:sz="0" w:space="0" w:color="auto"/>
      </w:divBdr>
    </w:div>
    <w:div w:id="1840611104">
      <w:bodyDiv w:val="1"/>
      <w:marLeft w:val="0"/>
      <w:marRight w:val="0"/>
      <w:marTop w:val="0"/>
      <w:marBottom w:val="0"/>
      <w:divBdr>
        <w:top w:val="none" w:sz="0" w:space="0" w:color="auto"/>
        <w:left w:val="none" w:sz="0" w:space="0" w:color="auto"/>
        <w:bottom w:val="none" w:sz="0" w:space="0" w:color="auto"/>
        <w:right w:val="none" w:sz="0" w:space="0" w:color="auto"/>
      </w:divBdr>
    </w:div>
    <w:div w:id="1845120276">
      <w:bodyDiv w:val="1"/>
      <w:marLeft w:val="0"/>
      <w:marRight w:val="0"/>
      <w:marTop w:val="0"/>
      <w:marBottom w:val="0"/>
      <w:divBdr>
        <w:top w:val="none" w:sz="0" w:space="0" w:color="auto"/>
        <w:left w:val="none" w:sz="0" w:space="0" w:color="auto"/>
        <w:bottom w:val="none" w:sz="0" w:space="0" w:color="auto"/>
        <w:right w:val="none" w:sz="0" w:space="0" w:color="auto"/>
      </w:divBdr>
    </w:div>
    <w:div w:id="1861892341">
      <w:bodyDiv w:val="1"/>
      <w:marLeft w:val="0"/>
      <w:marRight w:val="0"/>
      <w:marTop w:val="0"/>
      <w:marBottom w:val="0"/>
      <w:divBdr>
        <w:top w:val="none" w:sz="0" w:space="0" w:color="auto"/>
        <w:left w:val="none" w:sz="0" w:space="0" w:color="auto"/>
        <w:bottom w:val="none" w:sz="0" w:space="0" w:color="auto"/>
        <w:right w:val="none" w:sz="0" w:space="0" w:color="auto"/>
      </w:divBdr>
    </w:div>
    <w:div w:id="1863280505">
      <w:bodyDiv w:val="1"/>
      <w:marLeft w:val="0"/>
      <w:marRight w:val="0"/>
      <w:marTop w:val="0"/>
      <w:marBottom w:val="0"/>
      <w:divBdr>
        <w:top w:val="none" w:sz="0" w:space="0" w:color="auto"/>
        <w:left w:val="none" w:sz="0" w:space="0" w:color="auto"/>
        <w:bottom w:val="none" w:sz="0" w:space="0" w:color="auto"/>
        <w:right w:val="none" w:sz="0" w:space="0" w:color="auto"/>
      </w:divBdr>
    </w:div>
    <w:div w:id="1874727213">
      <w:bodyDiv w:val="1"/>
      <w:marLeft w:val="0"/>
      <w:marRight w:val="0"/>
      <w:marTop w:val="0"/>
      <w:marBottom w:val="0"/>
      <w:divBdr>
        <w:top w:val="none" w:sz="0" w:space="0" w:color="auto"/>
        <w:left w:val="none" w:sz="0" w:space="0" w:color="auto"/>
        <w:bottom w:val="none" w:sz="0" w:space="0" w:color="auto"/>
        <w:right w:val="none" w:sz="0" w:space="0" w:color="auto"/>
      </w:divBdr>
      <w:divsChild>
        <w:div w:id="1448044397">
          <w:marLeft w:val="0"/>
          <w:marRight w:val="0"/>
          <w:marTop w:val="0"/>
          <w:marBottom w:val="0"/>
          <w:divBdr>
            <w:top w:val="none" w:sz="0" w:space="0" w:color="auto"/>
            <w:left w:val="none" w:sz="0" w:space="0" w:color="auto"/>
            <w:bottom w:val="none" w:sz="0" w:space="0" w:color="auto"/>
            <w:right w:val="none" w:sz="0" w:space="0" w:color="auto"/>
          </w:divBdr>
        </w:div>
      </w:divsChild>
    </w:div>
    <w:div w:id="1877768146">
      <w:bodyDiv w:val="1"/>
      <w:marLeft w:val="0"/>
      <w:marRight w:val="0"/>
      <w:marTop w:val="0"/>
      <w:marBottom w:val="0"/>
      <w:divBdr>
        <w:top w:val="none" w:sz="0" w:space="0" w:color="auto"/>
        <w:left w:val="none" w:sz="0" w:space="0" w:color="auto"/>
        <w:bottom w:val="none" w:sz="0" w:space="0" w:color="auto"/>
        <w:right w:val="none" w:sz="0" w:space="0" w:color="auto"/>
      </w:divBdr>
    </w:div>
    <w:div w:id="1881239250">
      <w:bodyDiv w:val="1"/>
      <w:marLeft w:val="0"/>
      <w:marRight w:val="0"/>
      <w:marTop w:val="0"/>
      <w:marBottom w:val="0"/>
      <w:divBdr>
        <w:top w:val="none" w:sz="0" w:space="0" w:color="auto"/>
        <w:left w:val="none" w:sz="0" w:space="0" w:color="auto"/>
        <w:bottom w:val="none" w:sz="0" w:space="0" w:color="auto"/>
        <w:right w:val="none" w:sz="0" w:space="0" w:color="auto"/>
      </w:divBdr>
    </w:div>
    <w:div w:id="1891527567">
      <w:bodyDiv w:val="1"/>
      <w:marLeft w:val="0"/>
      <w:marRight w:val="0"/>
      <w:marTop w:val="0"/>
      <w:marBottom w:val="0"/>
      <w:divBdr>
        <w:top w:val="none" w:sz="0" w:space="0" w:color="auto"/>
        <w:left w:val="none" w:sz="0" w:space="0" w:color="auto"/>
        <w:bottom w:val="none" w:sz="0" w:space="0" w:color="auto"/>
        <w:right w:val="none" w:sz="0" w:space="0" w:color="auto"/>
      </w:divBdr>
    </w:div>
    <w:div w:id="1912545929">
      <w:bodyDiv w:val="1"/>
      <w:marLeft w:val="0"/>
      <w:marRight w:val="0"/>
      <w:marTop w:val="0"/>
      <w:marBottom w:val="0"/>
      <w:divBdr>
        <w:top w:val="none" w:sz="0" w:space="0" w:color="auto"/>
        <w:left w:val="none" w:sz="0" w:space="0" w:color="auto"/>
        <w:bottom w:val="none" w:sz="0" w:space="0" w:color="auto"/>
        <w:right w:val="none" w:sz="0" w:space="0" w:color="auto"/>
      </w:divBdr>
    </w:div>
    <w:div w:id="1917284647">
      <w:bodyDiv w:val="1"/>
      <w:marLeft w:val="0"/>
      <w:marRight w:val="0"/>
      <w:marTop w:val="0"/>
      <w:marBottom w:val="0"/>
      <w:divBdr>
        <w:top w:val="none" w:sz="0" w:space="0" w:color="auto"/>
        <w:left w:val="none" w:sz="0" w:space="0" w:color="auto"/>
        <w:bottom w:val="none" w:sz="0" w:space="0" w:color="auto"/>
        <w:right w:val="none" w:sz="0" w:space="0" w:color="auto"/>
      </w:divBdr>
    </w:div>
    <w:div w:id="1917781150">
      <w:bodyDiv w:val="1"/>
      <w:marLeft w:val="0"/>
      <w:marRight w:val="0"/>
      <w:marTop w:val="0"/>
      <w:marBottom w:val="0"/>
      <w:divBdr>
        <w:top w:val="none" w:sz="0" w:space="0" w:color="auto"/>
        <w:left w:val="none" w:sz="0" w:space="0" w:color="auto"/>
        <w:bottom w:val="none" w:sz="0" w:space="0" w:color="auto"/>
        <w:right w:val="none" w:sz="0" w:space="0" w:color="auto"/>
      </w:divBdr>
    </w:div>
    <w:div w:id="1931891984">
      <w:bodyDiv w:val="1"/>
      <w:marLeft w:val="0"/>
      <w:marRight w:val="0"/>
      <w:marTop w:val="0"/>
      <w:marBottom w:val="0"/>
      <w:divBdr>
        <w:top w:val="none" w:sz="0" w:space="0" w:color="auto"/>
        <w:left w:val="none" w:sz="0" w:space="0" w:color="auto"/>
        <w:bottom w:val="none" w:sz="0" w:space="0" w:color="auto"/>
        <w:right w:val="none" w:sz="0" w:space="0" w:color="auto"/>
      </w:divBdr>
    </w:div>
    <w:div w:id="1933511046">
      <w:bodyDiv w:val="1"/>
      <w:marLeft w:val="0"/>
      <w:marRight w:val="0"/>
      <w:marTop w:val="0"/>
      <w:marBottom w:val="0"/>
      <w:divBdr>
        <w:top w:val="none" w:sz="0" w:space="0" w:color="auto"/>
        <w:left w:val="none" w:sz="0" w:space="0" w:color="auto"/>
        <w:bottom w:val="none" w:sz="0" w:space="0" w:color="auto"/>
        <w:right w:val="none" w:sz="0" w:space="0" w:color="auto"/>
      </w:divBdr>
    </w:div>
    <w:div w:id="1947343050">
      <w:bodyDiv w:val="1"/>
      <w:marLeft w:val="0"/>
      <w:marRight w:val="0"/>
      <w:marTop w:val="0"/>
      <w:marBottom w:val="0"/>
      <w:divBdr>
        <w:top w:val="none" w:sz="0" w:space="0" w:color="auto"/>
        <w:left w:val="none" w:sz="0" w:space="0" w:color="auto"/>
        <w:bottom w:val="none" w:sz="0" w:space="0" w:color="auto"/>
        <w:right w:val="none" w:sz="0" w:space="0" w:color="auto"/>
      </w:divBdr>
    </w:div>
    <w:div w:id="1958834158">
      <w:bodyDiv w:val="1"/>
      <w:marLeft w:val="0"/>
      <w:marRight w:val="0"/>
      <w:marTop w:val="0"/>
      <w:marBottom w:val="0"/>
      <w:divBdr>
        <w:top w:val="none" w:sz="0" w:space="0" w:color="auto"/>
        <w:left w:val="none" w:sz="0" w:space="0" w:color="auto"/>
        <w:bottom w:val="none" w:sz="0" w:space="0" w:color="auto"/>
        <w:right w:val="none" w:sz="0" w:space="0" w:color="auto"/>
      </w:divBdr>
    </w:div>
    <w:div w:id="1960062163">
      <w:bodyDiv w:val="1"/>
      <w:marLeft w:val="0"/>
      <w:marRight w:val="0"/>
      <w:marTop w:val="0"/>
      <w:marBottom w:val="0"/>
      <w:divBdr>
        <w:top w:val="none" w:sz="0" w:space="0" w:color="auto"/>
        <w:left w:val="none" w:sz="0" w:space="0" w:color="auto"/>
        <w:bottom w:val="none" w:sz="0" w:space="0" w:color="auto"/>
        <w:right w:val="none" w:sz="0" w:space="0" w:color="auto"/>
      </w:divBdr>
    </w:div>
    <w:div w:id="1964070088">
      <w:bodyDiv w:val="1"/>
      <w:marLeft w:val="0"/>
      <w:marRight w:val="0"/>
      <w:marTop w:val="0"/>
      <w:marBottom w:val="0"/>
      <w:divBdr>
        <w:top w:val="none" w:sz="0" w:space="0" w:color="auto"/>
        <w:left w:val="none" w:sz="0" w:space="0" w:color="auto"/>
        <w:bottom w:val="none" w:sz="0" w:space="0" w:color="auto"/>
        <w:right w:val="none" w:sz="0" w:space="0" w:color="auto"/>
      </w:divBdr>
    </w:div>
    <w:div w:id="1976793590">
      <w:bodyDiv w:val="1"/>
      <w:marLeft w:val="0"/>
      <w:marRight w:val="0"/>
      <w:marTop w:val="0"/>
      <w:marBottom w:val="0"/>
      <w:divBdr>
        <w:top w:val="none" w:sz="0" w:space="0" w:color="auto"/>
        <w:left w:val="none" w:sz="0" w:space="0" w:color="auto"/>
        <w:bottom w:val="none" w:sz="0" w:space="0" w:color="auto"/>
        <w:right w:val="none" w:sz="0" w:space="0" w:color="auto"/>
      </w:divBdr>
    </w:div>
    <w:div w:id="1978028950">
      <w:bodyDiv w:val="1"/>
      <w:marLeft w:val="0"/>
      <w:marRight w:val="0"/>
      <w:marTop w:val="0"/>
      <w:marBottom w:val="0"/>
      <w:divBdr>
        <w:top w:val="none" w:sz="0" w:space="0" w:color="auto"/>
        <w:left w:val="none" w:sz="0" w:space="0" w:color="auto"/>
        <w:bottom w:val="none" w:sz="0" w:space="0" w:color="auto"/>
        <w:right w:val="none" w:sz="0" w:space="0" w:color="auto"/>
      </w:divBdr>
    </w:div>
    <w:div w:id="1984776211">
      <w:bodyDiv w:val="1"/>
      <w:marLeft w:val="0"/>
      <w:marRight w:val="0"/>
      <w:marTop w:val="0"/>
      <w:marBottom w:val="0"/>
      <w:divBdr>
        <w:top w:val="none" w:sz="0" w:space="0" w:color="auto"/>
        <w:left w:val="none" w:sz="0" w:space="0" w:color="auto"/>
        <w:bottom w:val="none" w:sz="0" w:space="0" w:color="auto"/>
        <w:right w:val="none" w:sz="0" w:space="0" w:color="auto"/>
      </w:divBdr>
    </w:div>
    <w:div w:id="1985037174">
      <w:bodyDiv w:val="1"/>
      <w:marLeft w:val="0"/>
      <w:marRight w:val="0"/>
      <w:marTop w:val="0"/>
      <w:marBottom w:val="0"/>
      <w:divBdr>
        <w:top w:val="none" w:sz="0" w:space="0" w:color="auto"/>
        <w:left w:val="none" w:sz="0" w:space="0" w:color="auto"/>
        <w:bottom w:val="none" w:sz="0" w:space="0" w:color="auto"/>
        <w:right w:val="none" w:sz="0" w:space="0" w:color="auto"/>
      </w:divBdr>
    </w:div>
    <w:div w:id="1985429865">
      <w:bodyDiv w:val="1"/>
      <w:marLeft w:val="0"/>
      <w:marRight w:val="0"/>
      <w:marTop w:val="0"/>
      <w:marBottom w:val="0"/>
      <w:divBdr>
        <w:top w:val="none" w:sz="0" w:space="0" w:color="auto"/>
        <w:left w:val="none" w:sz="0" w:space="0" w:color="auto"/>
        <w:bottom w:val="none" w:sz="0" w:space="0" w:color="auto"/>
        <w:right w:val="none" w:sz="0" w:space="0" w:color="auto"/>
      </w:divBdr>
    </w:div>
    <w:div w:id="1991246710">
      <w:bodyDiv w:val="1"/>
      <w:marLeft w:val="0"/>
      <w:marRight w:val="0"/>
      <w:marTop w:val="0"/>
      <w:marBottom w:val="0"/>
      <w:divBdr>
        <w:top w:val="none" w:sz="0" w:space="0" w:color="auto"/>
        <w:left w:val="none" w:sz="0" w:space="0" w:color="auto"/>
        <w:bottom w:val="none" w:sz="0" w:space="0" w:color="auto"/>
        <w:right w:val="none" w:sz="0" w:space="0" w:color="auto"/>
      </w:divBdr>
    </w:div>
    <w:div w:id="1997688747">
      <w:bodyDiv w:val="1"/>
      <w:marLeft w:val="0"/>
      <w:marRight w:val="0"/>
      <w:marTop w:val="0"/>
      <w:marBottom w:val="0"/>
      <w:divBdr>
        <w:top w:val="none" w:sz="0" w:space="0" w:color="auto"/>
        <w:left w:val="none" w:sz="0" w:space="0" w:color="auto"/>
        <w:bottom w:val="none" w:sz="0" w:space="0" w:color="auto"/>
        <w:right w:val="none" w:sz="0" w:space="0" w:color="auto"/>
      </w:divBdr>
    </w:div>
    <w:div w:id="2002731415">
      <w:bodyDiv w:val="1"/>
      <w:marLeft w:val="0"/>
      <w:marRight w:val="0"/>
      <w:marTop w:val="0"/>
      <w:marBottom w:val="0"/>
      <w:divBdr>
        <w:top w:val="none" w:sz="0" w:space="0" w:color="auto"/>
        <w:left w:val="none" w:sz="0" w:space="0" w:color="auto"/>
        <w:bottom w:val="none" w:sz="0" w:space="0" w:color="auto"/>
        <w:right w:val="none" w:sz="0" w:space="0" w:color="auto"/>
      </w:divBdr>
    </w:div>
    <w:div w:id="2008823455">
      <w:bodyDiv w:val="1"/>
      <w:marLeft w:val="0"/>
      <w:marRight w:val="0"/>
      <w:marTop w:val="0"/>
      <w:marBottom w:val="0"/>
      <w:divBdr>
        <w:top w:val="none" w:sz="0" w:space="0" w:color="auto"/>
        <w:left w:val="none" w:sz="0" w:space="0" w:color="auto"/>
        <w:bottom w:val="none" w:sz="0" w:space="0" w:color="auto"/>
        <w:right w:val="none" w:sz="0" w:space="0" w:color="auto"/>
      </w:divBdr>
    </w:div>
    <w:div w:id="2013995620">
      <w:bodyDiv w:val="1"/>
      <w:marLeft w:val="0"/>
      <w:marRight w:val="0"/>
      <w:marTop w:val="0"/>
      <w:marBottom w:val="0"/>
      <w:divBdr>
        <w:top w:val="none" w:sz="0" w:space="0" w:color="auto"/>
        <w:left w:val="none" w:sz="0" w:space="0" w:color="auto"/>
        <w:bottom w:val="none" w:sz="0" w:space="0" w:color="auto"/>
        <w:right w:val="none" w:sz="0" w:space="0" w:color="auto"/>
      </w:divBdr>
    </w:div>
    <w:div w:id="2018843975">
      <w:bodyDiv w:val="1"/>
      <w:marLeft w:val="0"/>
      <w:marRight w:val="0"/>
      <w:marTop w:val="0"/>
      <w:marBottom w:val="0"/>
      <w:divBdr>
        <w:top w:val="none" w:sz="0" w:space="0" w:color="auto"/>
        <w:left w:val="none" w:sz="0" w:space="0" w:color="auto"/>
        <w:bottom w:val="none" w:sz="0" w:space="0" w:color="auto"/>
        <w:right w:val="none" w:sz="0" w:space="0" w:color="auto"/>
      </w:divBdr>
    </w:div>
    <w:div w:id="2022658122">
      <w:bodyDiv w:val="1"/>
      <w:marLeft w:val="0"/>
      <w:marRight w:val="0"/>
      <w:marTop w:val="0"/>
      <w:marBottom w:val="0"/>
      <w:divBdr>
        <w:top w:val="none" w:sz="0" w:space="0" w:color="auto"/>
        <w:left w:val="none" w:sz="0" w:space="0" w:color="auto"/>
        <w:bottom w:val="none" w:sz="0" w:space="0" w:color="auto"/>
        <w:right w:val="none" w:sz="0" w:space="0" w:color="auto"/>
      </w:divBdr>
      <w:divsChild>
        <w:div w:id="1250693890">
          <w:marLeft w:val="0"/>
          <w:marRight w:val="0"/>
          <w:marTop w:val="0"/>
          <w:marBottom w:val="48"/>
          <w:divBdr>
            <w:top w:val="none" w:sz="0" w:space="0" w:color="auto"/>
            <w:left w:val="none" w:sz="0" w:space="0" w:color="auto"/>
            <w:bottom w:val="none" w:sz="0" w:space="0" w:color="auto"/>
            <w:right w:val="none" w:sz="0" w:space="0" w:color="auto"/>
          </w:divBdr>
        </w:div>
        <w:div w:id="1110852269">
          <w:marLeft w:val="0"/>
          <w:marRight w:val="0"/>
          <w:marTop w:val="0"/>
          <w:marBottom w:val="0"/>
          <w:divBdr>
            <w:top w:val="none" w:sz="0" w:space="0" w:color="auto"/>
            <w:left w:val="none" w:sz="0" w:space="0" w:color="auto"/>
            <w:bottom w:val="none" w:sz="0" w:space="0" w:color="auto"/>
            <w:right w:val="none" w:sz="0" w:space="0" w:color="auto"/>
          </w:divBdr>
        </w:div>
        <w:div w:id="2114670609">
          <w:marLeft w:val="0"/>
          <w:marRight w:val="0"/>
          <w:marTop w:val="0"/>
          <w:marBottom w:val="180"/>
          <w:divBdr>
            <w:top w:val="none" w:sz="0" w:space="0" w:color="auto"/>
            <w:left w:val="none" w:sz="0" w:space="0" w:color="auto"/>
            <w:bottom w:val="none" w:sz="0" w:space="0" w:color="auto"/>
            <w:right w:val="none" w:sz="0" w:space="0" w:color="auto"/>
          </w:divBdr>
        </w:div>
        <w:div w:id="1174299739">
          <w:marLeft w:val="0"/>
          <w:marRight w:val="0"/>
          <w:marTop w:val="0"/>
          <w:marBottom w:val="0"/>
          <w:divBdr>
            <w:top w:val="none" w:sz="0" w:space="0" w:color="auto"/>
            <w:left w:val="none" w:sz="0" w:space="0" w:color="auto"/>
            <w:bottom w:val="none" w:sz="0" w:space="0" w:color="auto"/>
            <w:right w:val="none" w:sz="0" w:space="0" w:color="auto"/>
          </w:divBdr>
        </w:div>
        <w:div w:id="657392281">
          <w:marLeft w:val="0"/>
          <w:marRight w:val="0"/>
          <w:marTop w:val="0"/>
          <w:marBottom w:val="0"/>
          <w:divBdr>
            <w:top w:val="none" w:sz="0" w:space="0" w:color="auto"/>
            <w:left w:val="none" w:sz="0" w:space="0" w:color="auto"/>
            <w:bottom w:val="none" w:sz="0" w:space="0" w:color="auto"/>
            <w:right w:val="none" w:sz="0" w:space="0" w:color="auto"/>
          </w:divBdr>
        </w:div>
        <w:div w:id="726808048">
          <w:marLeft w:val="0"/>
          <w:marRight w:val="0"/>
          <w:marTop w:val="0"/>
          <w:marBottom w:val="0"/>
          <w:divBdr>
            <w:top w:val="none" w:sz="0" w:space="0" w:color="auto"/>
            <w:left w:val="none" w:sz="0" w:space="0" w:color="auto"/>
            <w:bottom w:val="none" w:sz="0" w:space="0" w:color="auto"/>
            <w:right w:val="none" w:sz="0" w:space="0" w:color="auto"/>
          </w:divBdr>
        </w:div>
        <w:div w:id="1138449349">
          <w:marLeft w:val="0"/>
          <w:marRight w:val="0"/>
          <w:marTop w:val="0"/>
          <w:marBottom w:val="0"/>
          <w:divBdr>
            <w:top w:val="none" w:sz="0" w:space="0" w:color="auto"/>
            <w:left w:val="none" w:sz="0" w:space="0" w:color="auto"/>
            <w:bottom w:val="none" w:sz="0" w:space="0" w:color="auto"/>
            <w:right w:val="none" w:sz="0" w:space="0" w:color="auto"/>
          </w:divBdr>
        </w:div>
        <w:div w:id="1037270341">
          <w:marLeft w:val="0"/>
          <w:marRight w:val="0"/>
          <w:marTop w:val="0"/>
          <w:marBottom w:val="0"/>
          <w:divBdr>
            <w:top w:val="none" w:sz="0" w:space="0" w:color="auto"/>
            <w:left w:val="none" w:sz="0" w:space="0" w:color="auto"/>
            <w:bottom w:val="none" w:sz="0" w:space="0" w:color="auto"/>
            <w:right w:val="none" w:sz="0" w:space="0" w:color="auto"/>
          </w:divBdr>
        </w:div>
        <w:div w:id="1913201871">
          <w:marLeft w:val="0"/>
          <w:marRight w:val="0"/>
          <w:marTop w:val="0"/>
          <w:marBottom w:val="0"/>
          <w:divBdr>
            <w:top w:val="none" w:sz="0" w:space="0" w:color="auto"/>
            <w:left w:val="none" w:sz="0" w:space="0" w:color="auto"/>
            <w:bottom w:val="none" w:sz="0" w:space="0" w:color="auto"/>
            <w:right w:val="none" w:sz="0" w:space="0" w:color="auto"/>
          </w:divBdr>
        </w:div>
        <w:div w:id="376588626">
          <w:marLeft w:val="0"/>
          <w:marRight w:val="0"/>
          <w:marTop w:val="0"/>
          <w:marBottom w:val="0"/>
          <w:divBdr>
            <w:top w:val="none" w:sz="0" w:space="0" w:color="auto"/>
            <w:left w:val="none" w:sz="0" w:space="0" w:color="auto"/>
            <w:bottom w:val="none" w:sz="0" w:space="0" w:color="auto"/>
            <w:right w:val="none" w:sz="0" w:space="0" w:color="auto"/>
          </w:divBdr>
        </w:div>
      </w:divsChild>
    </w:div>
    <w:div w:id="2024814594">
      <w:bodyDiv w:val="1"/>
      <w:marLeft w:val="0"/>
      <w:marRight w:val="0"/>
      <w:marTop w:val="0"/>
      <w:marBottom w:val="0"/>
      <w:divBdr>
        <w:top w:val="none" w:sz="0" w:space="0" w:color="auto"/>
        <w:left w:val="none" w:sz="0" w:space="0" w:color="auto"/>
        <w:bottom w:val="none" w:sz="0" w:space="0" w:color="auto"/>
        <w:right w:val="none" w:sz="0" w:space="0" w:color="auto"/>
      </w:divBdr>
    </w:div>
    <w:div w:id="2026393819">
      <w:bodyDiv w:val="1"/>
      <w:marLeft w:val="0"/>
      <w:marRight w:val="0"/>
      <w:marTop w:val="0"/>
      <w:marBottom w:val="0"/>
      <w:divBdr>
        <w:top w:val="none" w:sz="0" w:space="0" w:color="auto"/>
        <w:left w:val="none" w:sz="0" w:space="0" w:color="auto"/>
        <w:bottom w:val="none" w:sz="0" w:space="0" w:color="auto"/>
        <w:right w:val="none" w:sz="0" w:space="0" w:color="auto"/>
      </w:divBdr>
    </w:div>
    <w:div w:id="2029868436">
      <w:bodyDiv w:val="1"/>
      <w:marLeft w:val="0"/>
      <w:marRight w:val="0"/>
      <w:marTop w:val="0"/>
      <w:marBottom w:val="0"/>
      <w:divBdr>
        <w:top w:val="none" w:sz="0" w:space="0" w:color="auto"/>
        <w:left w:val="none" w:sz="0" w:space="0" w:color="auto"/>
        <w:bottom w:val="none" w:sz="0" w:space="0" w:color="auto"/>
        <w:right w:val="none" w:sz="0" w:space="0" w:color="auto"/>
      </w:divBdr>
    </w:div>
    <w:div w:id="2037731097">
      <w:bodyDiv w:val="1"/>
      <w:marLeft w:val="0"/>
      <w:marRight w:val="0"/>
      <w:marTop w:val="0"/>
      <w:marBottom w:val="0"/>
      <w:divBdr>
        <w:top w:val="none" w:sz="0" w:space="0" w:color="auto"/>
        <w:left w:val="none" w:sz="0" w:space="0" w:color="auto"/>
        <w:bottom w:val="none" w:sz="0" w:space="0" w:color="auto"/>
        <w:right w:val="none" w:sz="0" w:space="0" w:color="auto"/>
      </w:divBdr>
    </w:div>
    <w:div w:id="2038963048">
      <w:bodyDiv w:val="1"/>
      <w:marLeft w:val="0"/>
      <w:marRight w:val="0"/>
      <w:marTop w:val="0"/>
      <w:marBottom w:val="0"/>
      <w:divBdr>
        <w:top w:val="none" w:sz="0" w:space="0" w:color="auto"/>
        <w:left w:val="none" w:sz="0" w:space="0" w:color="auto"/>
        <w:bottom w:val="none" w:sz="0" w:space="0" w:color="auto"/>
        <w:right w:val="none" w:sz="0" w:space="0" w:color="auto"/>
      </w:divBdr>
    </w:div>
    <w:div w:id="2048678476">
      <w:bodyDiv w:val="1"/>
      <w:marLeft w:val="0"/>
      <w:marRight w:val="0"/>
      <w:marTop w:val="0"/>
      <w:marBottom w:val="0"/>
      <w:divBdr>
        <w:top w:val="none" w:sz="0" w:space="0" w:color="auto"/>
        <w:left w:val="none" w:sz="0" w:space="0" w:color="auto"/>
        <w:bottom w:val="none" w:sz="0" w:space="0" w:color="auto"/>
        <w:right w:val="none" w:sz="0" w:space="0" w:color="auto"/>
      </w:divBdr>
    </w:div>
    <w:div w:id="2048986699">
      <w:bodyDiv w:val="1"/>
      <w:marLeft w:val="0"/>
      <w:marRight w:val="0"/>
      <w:marTop w:val="0"/>
      <w:marBottom w:val="0"/>
      <w:divBdr>
        <w:top w:val="none" w:sz="0" w:space="0" w:color="auto"/>
        <w:left w:val="none" w:sz="0" w:space="0" w:color="auto"/>
        <w:bottom w:val="none" w:sz="0" w:space="0" w:color="auto"/>
        <w:right w:val="none" w:sz="0" w:space="0" w:color="auto"/>
      </w:divBdr>
    </w:div>
    <w:div w:id="2049917595">
      <w:bodyDiv w:val="1"/>
      <w:marLeft w:val="0"/>
      <w:marRight w:val="0"/>
      <w:marTop w:val="0"/>
      <w:marBottom w:val="0"/>
      <w:divBdr>
        <w:top w:val="none" w:sz="0" w:space="0" w:color="auto"/>
        <w:left w:val="none" w:sz="0" w:space="0" w:color="auto"/>
        <w:bottom w:val="none" w:sz="0" w:space="0" w:color="auto"/>
        <w:right w:val="none" w:sz="0" w:space="0" w:color="auto"/>
      </w:divBdr>
    </w:div>
    <w:div w:id="2059356641">
      <w:bodyDiv w:val="1"/>
      <w:marLeft w:val="0"/>
      <w:marRight w:val="0"/>
      <w:marTop w:val="0"/>
      <w:marBottom w:val="0"/>
      <w:divBdr>
        <w:top w:val="none" w:sz="0" w:space="0" w:color="auto"/>
        <w:left w:val="none" w:sz="0" w:space="0" w:color="auto"/>
        <w:bottom w:val="none" w:sz="0" w:space="0" w:color="auto"/>
        <w:right w:val="none" w:sz="0" w:space="0" w:color="auto"/>
      </w:divBdr>
    </w:div>
    <w:div w:id="2072730943">
      <w:bodyDiv w:val="1"/>
      <w:marLeft w:val="0"/>
      <w:marRight w:val="0"/>
      <w:marTop w:val="0"/>
      <w:marBottom w:val="0"/>
      <w:divBdr>
        <w:top w:val="none" w:sz="0" w:space="0" w:color="auto"/>
        <w:left w:val="none" w:sz="0" w:space="0" w:color="auto"/>
        <w:bottom w:val="none" w:sz="0" w:space="0" w:color="auto"/>
        <w:right w:val="none" w:sz="0" w:space="0" w:color="auto"/>
      </w:divBdr>
    </w:div>
    <w:div w:id="2075154874">
      <w:bodyDiv w:val="1"/>
      <w:marLeft w:val="0"/>
      <w:marRight w:val="0"/>
      <w:marTop w:val="0"/>
      <w:marBottom w:val="0"/>
      <w:divBdr>
        <w:top w:val="none" w:sz="0" w:space="0" w:color="auto"/>
        <w:left w:val="none" w:sz="0" w:space="0" w:color="auto"/>
        <w:bottom w:val="none" w:sz="0" w:space="0" w:color="auto"/>
        <w:right w:val="none" w:sz="0" w:space="0" w:color="auto"/>
      </w:divBdr>
    </w:div>
    <w:div w:id="2075274332">
      <w:bodyDiv w:val="1"/>
      <w:marLeft w:val="0"/>
      <w:marRight w:val="0"/>
      <w:marTop w:val="0"/>
      <w:marBottom w:val="0"/>
      <w:divBdr>
        <w:top w:val="none" w:sz="0" w:space="0" w:color="auto"/>
        <w:left w:val="none" w:sz="0" w:space="0" w:color="auto"/>
        <w:bottom w:val="none" w:sz="0" w:space="0" w:color="auto"/>
        <w:right w:val="none" w:sz="0" w:space="0" w:color="auto"/>
      </w:divBdr>
    </w:div>
    <w:div w:id="2080710636">
      <w:bodyDiv w:val="1"/>
      <w:marLeft w:val="0"/>
      <w:marRight w:val="0"/>
      <w:marTop w:val="0"/>
      <w:marBottom w:val="0"/>
      <w:divBdr>
        <w:top w:val="none" w:sz="0" w:space="0" w:color="auto"/>
        <w:left w:val="none" w:sz="0" w:space="0" w:color="auto"/>
        <w:bottom w:val="none" w:sz="0" w:space="0" w:color="auto"/>
        <w:right w:val="none" w:sz="0" w:space="0" w:color="auto"/>
      </w:divBdr>
    </w:div>
    <w:div w:id="2087456212">
      <w:bodyDiv w:val="1"/>
      <w:marLeft w:val="0"/>
      <w:marRight w:val="0"/>
      <w:marTop w:val="0"/>
      <w:marBottom w:val="0"/>
      <w:divBdr>
        <w:top w:val="none" w:sz="0" w:space="0" w:color="auto"/>
        <w:left w:val="none" w:sz="0" w:space="0" w:color="auto"/>
        <w:bottom w:val="none" w:sz="0" w:space="0" w:color="auto"/>
        <w:right w:val="none" w:sz="0" w:space="0" w:color="auto"/>
      </w:divBdr>
    </w:div>
    <w:div w:id="2088840659">
      <w:bodyDiv w:val="1"/>
      <w:marLeft w:val="0"/>
      <w:marRight w:val="0"/>
      <w:marTop w:val="0"/>
      <w:marBottom w:val="0"/>
      <w:divBdr>
        <w:top w:val="none" w:sz="0" w:space="0" w:color="auto"/>
        <w:left w:val="none" w:sz="0" w:space="0" w:color="auto"/>
        <w:bottom w:val="none" w:sz="0" w:space="0" w:color="auto"/>
        <w:right w:val="none" w:sz="0" w:space="0" w:color="auto"/>
      </w:divBdr>
    </w:div>
    <w:div w:id="2091727969">
      <w:bodyDiv w:val="1"/>
      <w:marLeft w:val="0"/>
      <w:marRight w:val="0"/>
      <w:marTop w:val="0"/>
      <w:marBottom w:val="0"/>
      <w:divBdr>
        <w:top w:val="none" w:sz="0" w:space="0" w:color="auto"/>
        <w:left w:val="none" w:sz="0" w:space="0" w:color="auto"/>
        <w:bottom w:val="none" w:sz="0" w:space="0" w:color="auto"/>
        <w:right w:val="none" w:sz="0" w:space="0" w:color="auto"/>
      </w:divBdr>
    </w:div>
    <w:div w:id="2096172408">
      <w:bodyDiv w:val="1"/>
      <w:marLeft w:val="0"/>
      <w:marRight w:val="0"/>
      <w:marTop w:val="0"/>
      <w:marBottom w:val="0"/>
      <w:divBdr>
        <w:top w:val="none" w:sz="0" w:space="0" w:color="auto"/>
        <w:left w:val="none" w:sz="0" w:space="0" w:color="auto"/>
        <w:bottom w:val="none" w:sz="0" w:space="0" w:color="auto"/>
        <w:right w:val="none" w:sz="0" w:space="0" w:color="auto"/>
      </w:divBdr>
    </w:div>
    <w:div w:id="2098284800">
      <w:bodyDiv w:val="1"/>
      <w:marLeft w:val="0"/>
      <w:marRight w:val="0"/>
      <w:marTop w:val="0"/>
      <w:marBottom w:val="0"/>
      <w:divBdr>
        <w:top w:val="none" w:sz="0" w:space="0" w:color="auto"/>
        <w:left w:val="none" w:sz="0" w:space="0" w:color="auto"/>
        <w:bottom w:val="none" w:sz="0" w:space="0" w:color="auto"/>
        <w:right w:val="none" w:sz="0" w:space="0" w:color="auto"/>
      </w:divBdr>
    </w:div>
    <w:div w:id="2104183673">
      <w:bodyDiv w:val="1"/>
      <w:marLeft w:val="0"/>
      <w:marRight w:val="0"/>
      <w:marTop w:val="0"/>
      <w:marBottom w:val="0"/>
      <w:divBdr>
        <w:top w:val="none" w:sz="0" w:space="0" w:color="auto"/>
        <w:left w:val="none" w:sz="0" w:space="0" w:color="auto"/>
        <w:bottom w:val="none" w:sz="0" w:space="0" w:color="auto"/>
        <w:right w:val="none" w:sz="0" w:space="0" w:color="auto"/>
      </w:divBdr>
    </w:div>
    <w:div w:id="2111966458">
      <w:bodyDiv w:val="1"/>
      <w:marLeft w:val="0"/>
      <w:marRight w:val="0"/>
      <w:marTop w:val="0"/>
      <w:marBottom w:val="0"/>
      <w:divBdr>
        <w:top w:val="none" w:sz="0" w:space="0" w:color="auto"/>
        <w:left w:val="none" w:sz="0" w:space="0" w:color="auto"/>
        <w:bottom w:val="none" w:sz="0" w:space="0" w:color="auto"/>
        <w:right w:val="none" w:sz="0" w:space="0" w:color="auto"/>
      </w:divBdr>
    </w:div>
    <w:div w:id="2129204941">
      <w:bodyDiv w:val="1"/>
      <w:marLeft w:val="0"/>
      <w:marRight w:val="0"/>
      <w:marTop w:val="0"/>
      <w:marBottom w:val="0"/>
      <w:divBdr>
        <w:top w:val="none" w:sz="0" w:space="0" w:color="auto"/>
        <w:left w:val="none" w:sz="0" w:space="0" w:color="auto"/>
        <w:bottom w:val="none" w:sz="0" w:space="0" w:color="auto"/>
        <w:right w:val="none" w:sz="0" w:space="0" w:color="auto"/>
      </w:divBdr>
      <w:divsChild>
        <w:div w:id="1574895909">
          <w:marLeft w:val="0"/>
          <w:marRight w:val="0"/>
          <w:marTop w:val="360"/>
          <w:marBottom w:val="360"/>
          <w:divBdr>
            <w:top w:val="single" w:sz="6" w:space="6" w:color="D5D5D5"/>
            <w:left w:val="none" w:sz="0" w:space="0" w:color="auto"/>
            <w:bottom w:val="single" w:sz="6" w:space="6" w:color="D5D5D5"/>
            <w:right w:val="none" w:sz="0" w:space="0" w:color="auto"/>
          </w:divBdr>
        </w:div>
        <w:div w:id="1966349109">
          <w:marLeft w:val="0"/>
          <w:marRight w:val="0"/>
          <w:marTop w:val="0"/>
          <w:marBottom w:val="0"/>
          <w:divBdr>
            <w:top w:val="none" w:sz="0" w:space="0" w:color="auto"/>
            <w:left w:val="none" w:sz="0" w:space="0" w:color="auto"/>
            <w:bottom w:val="none" w:sz="0" w:space="0" w:color="auto"/>
            <w:right w:val="none" w:sz="0" w:space="0" w:color="auto"/>
          </w:divBdr>
          <w:divsChild>
            <w:div w:id="721246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31389532">
      <w:bodyDiv w:val="1"/>
      <w:marLeft w:val="0"/>
      <w:marRight w:val="0"/>
      <w:marTop w:val="0"/>
      <w:marBottom w:val="0"/>
      <w:divBdr>
        <w:top w:val="none" w:sz="0" w:space="0" w:color="auto"/>
        <w:left w:val="none" w:sz="0" w:space="0" w:color="auto"/>
        <w:bottom w:val="none" w:sz="0" w:space="0" w:color="auto"/>
        <w:right w:val="none" w:sz="0" w:space="0" w:color="auto"/>
      </w:divBdr>
    </w:div>
    <w:div w:id="2133402933">
      <w:bodyDiv w:val="1"/>
      <w:marLeft w:val="0"/>
      <w:marRight w:val="0"/>
      <w:marTop w:val="0"/>
      <w:marBottom w:val="0"/>
      <w:divBdr>
        <w:top w:val="none" w:sz="0" w:space="0" w:color="auto"/>
        <w:left w:val="none" w:sz="0" w:space="0" w:color="auto"/>
        <w:bottom w:val="none" w:sz="0" w:space="0" w:color="auto"/>
        <w:right w:val="none" w:sz="0" w:space="0" w:color="auto"/>
      </w:divBdr>
    </w:div>
    <w:div w:id="2135588030">
      <w:bodyDiv w:val="1"/>
      <w:marLeft w:val="0"/>
      <w:marRight w:val="0"/>
      <w:marTop w:val="0"/>
      <w:marBottom w:val="0"/>
      <w:divBdr>
        <w:top w:val="none" w:sz="0" w:space="0" w:color="auto"/>
        <w:left w:val="none" w:sz="0" w:space="0" w:color="auto"/>
        <w:bottom w:val="none" w:sz="0" w:space="0" w:color="auto"/>
        <w:right w:val="none" w:sz="0" w:space="0" w:color="auto"/>
      </w:divBdr>
    </w:div>
    <w:div w:id="2142532905">
      <w:bodyDiv w:val="1"/>
      <w:marLeft w:val="0"/>
      <w:marRight w:val="0"/>
      <w:marTop w:val="0"/>
      <w:marBottom w:val="0"/>
      <w:divBdr>
        <w:top w:val="none" w:sz="0" w:space="0" w:color="auto"/>
        <w:left w:val="none" w:sz="0" w:space="0" w:color="auto"/>
        <w:bottom w:val="none" w:sz="0" w:space="0" w:color="auto"/>
        <w:right w:val="none" w:sz="0" w:space="0" w:color="auto"/>
      </w:divBdr>
    </w:div>
    <w:div w:id="2144928986">
      <w:bodyDiv w:val="1"/>
      <w:marLeft w:val="0"/>
      <w:marRight w:val="0"/>
      <w:marTop w:val="0"/>
      <w:marBottom w:val="0"/>
      <w:divBdr>
        <w:top w:val="none" w:sz="0" w:space="0" w:color="auto"/>
        <w:left w:val="none" w:sz="0" w:space="0" w:color="auto"/>
        <w:bottom w:val="none" w:sz="0" w:space="0" w:color="auto"/>
        <w:right w:val="none" w:sz="0" w:space="0" w:color="auto"/>
      </w:divBdr>
    </w:div>
    <w:div w:id="2145929272">
      <w:bodyDiv w:val="1"/>
      <w:marLeft w:val="0"/>
      <w:marRight w:val="0"/>
      <w:marTop w:val="0"/>
      <w:marBottom w:val="0"/>
      <w:divBdr>
        <w:top w:val="none" w:sz="0" w:space="0" w:color="auto"/>
        <w:left w:val="none" w:sz="0" w:space="0" w:color="auto"/>
        <w:bottom w:val="none" w:sz="0" w:space="0" w:color="auto"/>
        <w:right w:val="none" w:sz="0" w:space="0" w:color="auto"/>
      </w:divBdr>
    </w:div>
    <w:div w:id="214711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ychiatricPracticeUpdates@gmail.com" TargetMode="External"/><Relationship Id="rId13" Type="http://schemas.openxmlformats.org/officeDocument/2006/relationships/hyperlink" Target="https://pubmed.ncbi.nlm.nih.gov/39494789/" TargetMode="External"/><Relationship Id="rId18" Type="http://schemas.openxmlformats.org/officeDocument/2006/relationships/hyperlink" Target="https://pubmed.ncbi.nlm.nih.gov/3956875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ubmed.ncbi.nlm.nih.gov/39379169/" TargetMode="External"/><Relationship Id="rId17" Type="http://schemas.openxmlformats.org/officeDocument/2006/relationships/hyperlink" Target="https://pubmed.ncbi.nlm.nih.gov/39600790/" TargetMode="External"/><Relationship Id="rId2" Type="http://schemas.openxmlformats.org/officeDocument/2006/relationships/customXml" Target="../customXml/item2.xml"/><Relationship Id="rId16" Type="http://schemas.openxmlformats.org/officeDocument/2006/relationships/hyperlink" Target="https://pubmed.ncbi.nlm.nih.gov/39486646/" TargetMode="External"/><Relationship Id="rId20" Type="http://schemas.openxmlformats.org/officeDocument/2006/relationships/hyperlink" Target="https://pubmed.ncbi.nlm.nih.gov/3944965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med.ncbi.nlm.nih.gov/39355920/" TargetMode="External"/><Relationship Id="rId5" Type="http://schemas.openxmlformats.org/officeDocument/2006/relationships/styles" Target="styles.xml"/><Relationship Id="rId15" Type="http://schemas.openxmlformats.org/officeDocument/2006/relationships/hyperlink" Target="https://pubmed.ncbi.nlm.nih.gov/39535804/" TargetMode="External"/><Relationship Id="rId10" Type="http://schemas.openxmlformats.org/officeDocument/2006/relationships/hyperlink" Target="https://pubmed.ncbi.nlm.nih.gov/39048532/" TargetMode="External"/><Relationship Id="rId19" Type="http://schemas.openxmlformats.org/officeDocument/2006/relationships/hyperlink" Target="https://pubmed.ncbi.nlm.nih.gov/39495644/" TargetMode="External"/><Relationship Id="rId4" Type="http://schemas.openxmlformats.org/officeDocument/2006/relationships/numbering" Target="numbering.xml"/><Relationship Id="rId9" Type="http://schemas.openxmlformats.org/officeDocument/2006/relationships/hyperlink" Target="https://pubmed.ncbi.nlm.nih.gov/39423305/" TargetMode="External"/><Relationship Id="rId14" Type="http://schemas.openxmlformats.org/officeDocument/2006/relationships/hyperlink" Target="https://pubmed.ncbi.nlm.nih.gov/393744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94E90F9D00E441967C69CD711E8B56" ma:contentTypeVersion="18" ma:contentTypeDescription="Create a new document." ma:contentTypeScope="" ma:versionID="fb0269dd3141e96928bf0bfce5b7a020">
  <xsd:schema xmlns:xsd="http://www.w3.org/2001/XMLSchema" xmlns:xs="http://www.w3.org/2001/XMLSchema" xmlns:p="http://schemas.microsoft.com/office/2006/metadata/properties" xmlns:ns3="91441c8d-ca26-44dc-94a4-57e3644a5890" xmlns:ns4="d8477fae-83d0-48aa-8785-73bd0b430834" targetNamespace="http://schemas.microsoft.com/office/2006/metadata/properties" ma:root="true" ma:fieldsID="5f2a54daa1d8ede7efc12152403b20bc" ns3:_="" ns4:_="">
    <xsd:import namespace="91441c8d-ca26-44dc-94a4-57e3644a5890"/>
    <xsd:import namespace="d8477fae-83d0-48aa-8785-73bd0b4308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OCR"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1c8d-ca26-44dc-94a4-57e3644a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477fae-83d0-48aa-8785-73bd0b4308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1441c8d-ca26-44dc-94a4-57e3644a58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9D049-8B96-4518-A33F-2D274B129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41c8d-ca26-44dc-94a4-57e3644a5890"/>
    <ds:schemaRef ds:uri="d8477fae-83d0-48aa-8785-73bd0b430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5A0B4-82F6-4D7B-8136-5DB898F3BC86}">
  <ds:schemaRefs>
    <ds:schemaRef ds:uri="http://schemas.microsoft.com/office/2006/metadata/properties"/>
    <ds:schemaRef ds:uri="http://schemas.microsoft.com/office/infopath/2007/PartnerControls"/>
    <ds:schemaRef ds:uri="91441c8d-ca26-44dc-94a4-57e3644a5890"/>
  </ds:schemaRefs>
</ds:datastoreItem>
</file>

<file path=customXml/itemProps3.xml><?xml version="1.0" encoding="utf-8"?>
<ds:datastoreItem xmlns:ds="http://schemas.openxmlformats.org/officeDocument/2006/customXml" ds:itemID="{240C0AE0-D038-4280-9378-C9B905595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4311</Words>
  <Characters>24574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Debonis</dc:creator>
  <cp:keywords/>
  <dc:description/>
  <cp:lastModifiedBy>jason debonis</cp:lastModifiedBy>
  <cp:revision>2</cp:revision>
  <dcterms:created xsi:type="dcterms:W3CDTF">2026-03-06T04:57:00Z</dcterms:created>
  <dcterms:modified xsi:type="dcterms:W3CDTF">2026-03-06T04:57:00Z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0x0101005094E90F9D00E441967C69CD711E8B56</vt:lpwstr>
  </property>
</Properties>
</file>